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EAD61">
      <w:pPr>
        <w:spacing w:before="120" w:after="120" w:line="360" w:lineRule="auto"/>
        <w:jc w:val="center"/>
        <w:rPr>
          <w:rFonts w:ascii="宋体" w:hAnsi="宋体" w:eastAsia="宋体" w:cs="Times New Roman"/>
          <w:b/>
          <w:color w:val="000000" w:themeColor="text1"/>
          <w:sz w:val="28"/>
          <w:szCs w:val="28"/>
          <w:highlight w:val="none"/>
          <w14:textFill>
            <w14:solidFill>
              <w14:schemeClr w14:val="tx1"/>
            </w14:solidFill>
          </w14:textFill>
        </w:rPr>
      </w:pPr>
    </w:p>
    <w:p w14:paraId="041DBFFD">
      <w:pPr>
        <w:spacing w:before="120" w:after="120" w:line="360" w:lineRule="auto"/>
        <w:jc w:val="center"/>
        <w:rPr>
          <w:rFonts w:ascii="宋体" w:hAnsi="宋体" w:eastAsia="宋体" w:cs="Times New Roman"/>
          <w:color w:val="000000" w:themeColor="text1"/>
          <w:sz w:val="72"/>
          <w:szCs w:val="72"/>
          <w:highlight w:val="none"/>
          <w14:textFill>
            <w14:solidFill>
              <w14:schemeClr w14:val="tx1"/>
            </w14:solidFill>
          </w14:textFill>
        </w:rPr>
      </w:pPr>
      <w:r>
        <w:rPr>
          <w:rFonts w:hint="eastAsia" w:ascii="宋体" w:hAnsi="宋体" w:eastAsia="宋体" w:cs="Times New Roman"/>
          <w:b/>
          <w:bCs/>
          <w:color w:val="000000" w:themeColor="text1"/>
          <w:spacing w:val="80"/>
          <w:sz w:val="72"/>
          <w:szCs w:val="72"/>
          <w:highlight w:val="none"/>
          <w14:textFill>
            <w14:solidFill>
              <w14:schemeClr w14:val="tx1"/>
            </w14:solidFill>
          </w14:textFill>
        </w:rPr>
        <w:t>连云港市政府采购</w:t>
      </w:r>
    </w:p>
    <w:p w14:paraId="19915495">
      <w:pPr>
        <w:spacing w:before="120" w:after="120" w:line="360" w:lineRule="auto"/>
        <w:jc w:val="left"/>
        <w:rPr>
          <w:rFonts w:ascii="宋体" w:hAnsi="宋体" w:eastAsia="宋体" w:cs="Times New Roman"/>
          <w:b/>
          <w:color w:val="000000" w:themeColor="text1"/>
          <w:sz w:val="52"/>
          <w:szCs w:val="52"/>
          <w:highlight w:val="none"/>
          <w14:textFill>
            <w14:solidFill>
              <w14:schemeClr w14:val="tx1"/>
            </w14:solidFill>
          </w14:textFill>
        </w:rPr>
      </w:pPr>
    </w:p>
    <w:p w14:paraId="01CF7A6D">
      <w:pPr>
        <w:spacing w:before="120" w:after="120" w:line="360" w:lineRule="auto"/>
        <w:jc w:val="center"/>
        <w:rPr>
          <w:rFonts w:ascii="宋体" w:hAnsi="宋体" w:eastAsia="宋体" w:cs="Times New Roman"/>
          <w:b/>
          <w:bCs/>
          <w:color w:val="000000" w:themeColor="text1"/>
          <w:sz w:val="72"/>
          <w:szCs w:val="72"/>
          <w:highlight w:val="none"/>
          <w14:textFill>
            <w14:solidFill>
              <w14:schemeClr w14:val="tx1"/>
            </w14:solidFill>
          </w14:textFill>
        </w:rPr>
      </w:pPr>
      <w:r>
        <w:rPr>
          <w:rFonts w:hint="eastAsia" w:ascii="宋体" w:hAnsi="宋体" w:eastAsia="宋体" w:cs="Times New Roman"/>
          <w:b/>
          <w:bCs/>
          <w:color w:val="000000" w:themeColor="text1"/>
          <w:sz w:val="72"/>
          <w:szCs w:val="72"/>
          <w:highlight w:val="none"/>
          <w14:textFill>
            <w14:solidFill>
              <w14:schemeClr w14:val="tx1"/>
            </w14:solidFill>
          </w14:textFill>
        </w:rPr>
        <w:t>竞争性磋商文件</w:t>
      </w:r>
    </w:p>
    <w:p w14:paraId="367DFA31">
      <w:pPr>
        <w:spacing w:before="120" w:after="120" w:line="360" w:lineRule="auto"/>
        <w:jc w:val="left"/>
        <w:rPr>
          <w:rFonts w:ascii="宋体" w:hAnsi="宋体" w:eastAsia="宋体" w:cs="Times New Roman"/>
          <w:b/>
          <w:bCs/>
          <w:color w:val="000000" w:themeColor="text1"/>
          <w:sz w:val="32"/>
          <w:szCs w:val="32"/>
          <w:highlight w:val="none"/>
          <w14:textFill>
            <w14:solidFill>
              <w14:schemeClr w14:val="tx1"/>
            </w14:solidFill>
          </w14:textFill>
        </w:rPr>
      </w:pPr>
    </w:p>
    <w:p w14:paraId="3C2B2047">
      <w:pPr>
        <w:spacing w:before="120" w:after="120" w:line="360" w:lineRule="auto"/>
        <w:jc w:val="left"/>
        <w:rPr>
          <w:rFonts w:ascii="宋体" w:hAnsi="宋体" w:eastAsia="宋体" w:cs="Times New Roman"/>
          <w:b/>
          <w:bCs/>
          <w:color w:val="000000" w:themeColor="text1"/>
          <w:sz w:val="32"/>
          <w:szCs w:val="24"/>
          <w:highlight w:val="none"/>
          <w14:textFill>
            <w14:solidFill>
              <w14:schemeClr w14:val="tx1"/>
            </w14:solidFill>
          </w14:textFill>
        </w:rPr>
      </w:pPr>
    </w:p>
    <w:p w14:paraId="320A5B79">
      <w:pPr>
        <w:spacing w:before="260" w:after="260" w:line="364" w:lineRule="auto"/>
        <w:ind w:left="2538" w:right="210" w:hanging="1494"/>
        <w:outlineLvl w:val="2"/>
        <w:rPr>
          <w:rFonts w:ascii="宋体" w:hAnsi="宋体" w:eastAsia="宋体" w:cs="Times New Roman"/>
          <w:b/>
          <w:bCs/>
          <w:color w:val="000000" w:themeColor="text1"/>
          <w:sz w:val="30"/>
          <w:szCs w:val="30"/>
          <w:highlight w:val="none"/>
          <w14:textFill>
            <w14:solidFill>
              <w14:schemeClr w14:val="tx1"/>
            </w14:solidFill>
          </w14:textFill>
        </w:rPr>
      </w:pPr>
      <w:r>
        <w:rPr>
          <w:rFonts w:ascii="宋体" w:hAnsi="宋体" w:eastAsia="宋体" w:cs="Times New Roman"/>
          <w:b/>
          <w:bCs/>
          <w:color w:val="000000" w:themeColor="text1"/>
          <w:sz w:val="30"/>
          <w:szCs w:val="30"/>
          <w:highlight w:val="none"/>
          <w14:textFill>
            <w14:solidFill>
              <w14:schemeClr w14:val="tx1"/>
            </w14:solidFill>
          </w14:textFill>
        </w:rPr>
        <w:t>项目名称</w:t>
      </w:r>
      <w:r>
        <w:rPr>
          <w:rFonts w:hint="eastAsia" w:ascii="宋体" w:hAnsi="宋体" w:eastAsia="宋体" w:cs="Times New Roman"/>
          <w:b/>
          <w:bCs/>
          <w:color w:val="000000" w:themeColor="text1"/>
          <w:sz w:val="30"/>
          <w:szCs w:val="30"/>
          <w:highlight w:val="none"/>
          <w14:textFill>
            <w14:solidFill>
              <w14:schemeClr w14:val="tx1"/>
            </w14:solidFill>
          </w14:textFill>
        </w:rPr>
        <w:t>: 连云港市临洪东站110KV变电所自动化保护系统维修改造项目（专门面向中小企业）</w:t>
      </w:r>
    </w:p>
    <w:p w14:paraId="09312732">
      <w:pPr>
        <w:spacing w:before="260" w:after="260" w:line="364" w:lineRule="auto"/>
        <w:ind w:left="2538" w:right="210" w:hanging="1494"/>
        <w:outlineLvl w:val="2"/>
        <w:rPr>
          <w:rFonts w:ascii="宋体" w:hAnsi="宋体" w:eastAsia="宋体" w:cs="Times New Roman"/>
          <w:b/>
          <w:bCs/>
          <w:color w:val="000000" w:themeColor="text1"/>
          <w:sz w:val="30"/>
          <w:szCs w:val="30"/>
          <w:highlight w:val="none"/>
          <w14:textFill>
            <w14:solidFill>
              <w14:schemeClr w14:val="tx1"/>
            </w14:solidFill>
          </w14:textFill>
        </w:rPr>
      </w:pPr>
      <w:r>
        <w:rPr>
          <w:rFonts w:hint="eastAsia" w:ascii="宋体" w:hAnsi="宋体" w:eastAsia="宋体" w:cs="Times New Roman"/>
          <w:b/>
          <w:bCs/>
          <w:color w:val="000000" w:themeColor="text1"/>
          <w:sz w:val="30"/>
          <w:szCs w:val="30"/>
          <w:highlight w:val="none"/>
          <w14:textFill>
            <w14:solidFill>
              <w14:schemeClr w14:val="tx1"/>
            </w14:solidFill>
          </w14:textFill>
        </w:rPr>
        <w:t>项目编号：JSZC-320700-BHXM-C2025-0016</w:t>
      </w:r>
    </w:p>
    <w:p w14:paraId="76EAD0EB">
      <w:pPr>
        <w:ind w:firstLine="1120"/>
        <w:rPr>
          <w:rFonts w:ascii="宋体" w:hAnsi="宋体" w:eastAsia="宋体" w:cs="Times New Roman"/>
          <w:bCs/>
          <w:color w:val="000000" w:themeColor="text1"/>
          <w:sz w:val="32"/>
          <w:szCs w:val="24"/>
          <w:highlight w:val="none"/>
          <w14:textFill>
            <w14:solidFill>
              <w14:schemeClr w14:val="tx1"/>
            </w14:solidFill>
          </w14:textFill>
        </w:rPr>
      </w:pPr>
    </w:p>
    <w:p w14:paraId="2DD1A4E6">
      <w:pPr>
        <w:ind w:firstLine="1120"/>
        <w:rPr>
          <w:rFonts w:ascii="宋体" w:hAnsi="宋体" w:eastAsia="宋体" w:cs="Times New Roman"/>
          <w:bCs/>
          <w:color w:val="000000" w:themeColor="text1"/>
          <w:sz w:val="32"/>
          <w:szCs w:val="24"/>
          <w:highlight w:val="none"/>
          <w14:textFill>
            <w14:solidFill>
              <w14:schemeClr w14:val="tx1"/>
            </w14:solidFill>
          </w14:textFill>
        </w:rPr>
      </w:pPr>
    </w:p>
    <w:p w14:paraId="404A82C8">
      <w:pPr>
        <w:ind w:firstLine="1120"/>
        <w:rPr>
          <w:rFonts w:ascii="宋体" w:hAnsi="宋体" w:eastAsia="宋体" w:cs="Times New Roman"/>
          <w:bCs/>
          <w:color w:val="000000" w:themeColor="text1"/>
          <w:sz w:val="32"/>
          <w:szCs w:val="24"/>
          <w:highlight w:val="none"/>
          <w14:textFill>
            <w14:solidFill>
              <w14:schemeClr w14:val="tx1"/>
            </w14:solidFill>
          </w14:textFill>
        </w:rPr>
      </w:pPr>
    </w:p>
    <w:p w14:paraId="3C4ECBA3">
      <w:pPr>
        <w:ind w:firstLine="1120"/>
        <w:rPr>
          <w:rFonts w:ascii="宋体" w:hAnsi="宋体" w:eastAsia="宋体" w:cs="Times New Roman"/>
          <w:bCs/>
          <w:color w:val="000000" w:themeColor="text1"/>
          <w:sz w:val="32"/>
          <w:szCs w:val="24"/>
          <w:highlight w:val="none"/>
          <w14:textFill>
            <w14:solidFill>
              <w14:schemeClr w14:val="tx1"/>
            </w14:solidFill>
          </w14:textFill>
        </w:rPr>
      </w:pPr>
    </w:p>
    <w:p w14:paraId="7804BD7F">
      <w:pPr>
        <w:ind w:firstLine="1120"/>
        <w:rPr>
          <w:rFonts w:ascii="宋体" w:hAnsi="宋体" w:eastAsia="宋体" w:cs="Times New Roman"/>
          <w:bCs/>
          <w:color w:val="000000" w:themeColor="text1"/>
          <w:sz w:val="32"/>
          <w:szCs w:val="24"/>
          <w:highlight w:val="none"/>
          <w14:textFill>
            <w14:solidFill>
              <w14:schemeClr w14:val="tx1"/>
            </w14:solidFill>
          </w14:textFill>
        </w:rPr>
      </w:pPr>
    </w:p>
    <w:p w14:paraId="7D1D5D9F">
      <w:pPr>
        <w:spacing w:line="480" w:lineRule="auto"/>
        <w:ind w:firstLine="1285" w:firstLineChars="400"/>
        <w:rPr>
          <w:rFonts w:ascii="宋体" w:hAnsi="宋体" w:eastAsia="宋体" w:cs="Times New Roman"/>
          <w:b/>
          <w:color w:val="000000" w:themeColor="text1"/>
          <w:sz w:val="32"/>
          <w:szCs w:val="24"/>
          <w:highlight w:val="none"/>
          <w14:textFill>
            <w14:solidFill>
              <w14:schemeClr w14:val="tx1"/>
            </w14:solidFill>
          </w14:textFill>
        </w:rPr>
      </w:pPr>
      <w:r>
        <w:rPr>
          <w:rFonts w:hint="eastAsia" w:ascii="宋体" w:hAnsi="宋体" w:eastAsia="宋体" w:cs="Times New Roman"/>
          <w:b/>
          <w:color w:val="000000" w:themeColor="text1"/>
          <w:sz w:val="32"/>
          <w:szCs w:val="24"/>
          <w:highlight w:val="none"/>
          <w14:textFill>
            <w14:solidFill>
              <w14:schemeClr w14:val="tx1"/>
            </w14:solidFill>
          </w14:textFill>
        </w:rPr>
        <w:t>采  购  人：连云港市临洪水利工程管理处</w:t>
      </w:r>
    </w:p>
    <w:p w14:paraId="57DD42E2">
      <w:pPr>
        <w:spacing w:line="480" w:lineRule="auto"/>
        <w:ind w:firstLine="1285" w:firstLineChars="400"/>
        <w:jc w:val="left"/>
        <w:rPr>
          <w:rFonts w:ascii="宋体" w:hAnsi="宋体" w:eastAsia="宋体" w:cs="Times New Roman"/>
          <w:bCs/>
          <w:color w:val="000000" w:themeColor="text1"/>
          <w:sz w:val="32"/>
          <w:szCs w:val="24"/>
          <w:highlight w:val="none"/>
          <w14:textFill>
            <w14:solidFill>
              <w14:schemeClr w14:val="tx1"/>
            </w14:solidFill>
          </w14:textFill>
        </w:rPr>
      </w:pPr>
      <w:r>
        <w:rPr>
          <w:rFonts w:hint="eastAsia" w:ascii="宋体" w:hAnsi="宋体" w:eastAsia="宋体" w:cs="Times New Roman"/>
          <w:b/>
          <w:color w:val="000000" w:themeColor="text1"/>
          <w:sz w:val="32"/>
          <w:szCs w:val="24"/>
          <w:highlight w:val="none"/>
          <w14:textFill>
            <w14:solidFill>
              <w14:schemeClr w14:val="tx1"/>
            </w14:solidFill>
          </w14:textFill>
        </w:rPr>
        <w:t>采购代理机构：江苏宝宏项目管理咨询有限公司</w:t>
      </w:r>
    </w:p>
    <w:p w14:paraId="5E8DC262">
      <w:pPr>
        <w:spacing w:before="120" w:after="120" w:line="360" w:lineRule="auto"/>
        <w:jc w:val="center"/>
        <w:rPr>
          <w:rFonts w:ascii="宋体" w:hAnsi="宋体" w:eastAsia="宋体" w:cs="Times New Roman"/>
          <w:b/>
          <w:color w:val="000000" w:themeColor="text1"/>
          <w:sz w:val="32"/>
          <w:szCs w:val="24"/>
          <w:highlight w:val="none"/>
          <w14:textFill>
            <w14:solidFill>
              <w14:schemeClr w14:val="tx1"/>
            </w14:solidFill>
          </w14:textFill>
        </w:rPr>
      </w:pPr>
      <w:r>
        <w:rPr>
          <w:rFonts w:hint="eastAsia" w:ascii="宋体" w:hAnsi="宋体" w:eastAsia="宋体" w:cs="Times New Roman"/>
          <w:b/>
          <w:color w:val="000000" w:themeColor="text1"/>
          <w:sz w:val="32"/>
          <w:szCs w:val="24"/>
          <w:highlight w:val="none"/>
          <w14:textFill>
            <w14:solidFill>
              <w14:schemeClr w14:val="tx1"/>
            </w14:solidFill>
          </w14:textFill>
        </w:rPr>
        <w:t>2025年12月</w:t>
      </w:r>
    </w:p>
    <w:p w14:paraId="6BE72A94">
      <w:pPr>
        <w:jc w:val="center"/>
        <w:rPr>
          <w:rFonts w:ascii="宋体" w:hAnsi="宋体" w:eastAsia="宋体" w:cs="Times New Roman"/>
          <w:b/>
          <w:color w:val="000000" w:themeColor="text1"/>
          <w:sz w:val="44"/>
          <w:szCs w:val="44"/>
          <w:highlight w:val="none"/>
          <w14:textFill>
            <w14:solidFill>
              <w14:schemeClr w14:val="tx1"/>
            </w14:solidFill>
          </w14:textFill>
        </w:rPr>
      </w:pPr>
    </w:p>
    <w:p w14:paraId="6B2E6758">
      <w:pPr>
        <w:pStyle w:val="239"/>
        <w:rPr>
          <w:color w:val="000000" w:themeColor="text1"/>
          <w:highlight w:val="none"/>
          <w14:textFill>
            <w14:solidFill>
              <w14:schemeClr w14:val="tx1"/>
            </w14:solidFill>
          </w14:textFill>
        </w:rPr>
      </w:pPr>
    </w:p>
    <w:p w14:paraId="426ABD36">
      <w:pPr>
        <w:ind w:firstLine="3975"/>
        <w:outlineLvl w:val="0"/>
        <w:rPr>
          <w:rFonts w:ascii="宋体" w:hAnsi="宋体" w:eastAsia="宋体" w:cs="Times New Roman"/>
          <w:b/>
          <w:bCs/>
          <w:color w:val="000000" w:themeColor="text1"/>
          <w:sz w:val="36"/>
          <w:szCs w:val="36"/>
          <w:highlight w:val="none"/>
          <w14:textFill>
            <w14:solidFill>
              <w14:schemeClr w14:val="tx1"/>
            </w14:solidFill>
          </w14:textFill>
        </w:rPr>
      </w:pPr>
      <w:r>
        <w:rPr>
          <w:rFonts w:hint="eastAsia" w:ascii="宋体" w:hAnsi="宋体" w:eastAsia="宋体" w:cs="Times New Roman"/>
          <w:b/>
          <w:color w:val="000000" w:themeColor="text1"/>
          <w:sz w:val="36"/>
          <w:szCs w:val="36"/>
          <w:highlight w:val="none"/>
          <w14:textFill>
            <w14:solidFill>
              <w14:schemeClr w14:val="tx1"/>
            </w14:solidFill>
          </w14:textFill>
        </w:rPr>
        <w:t>总 目 录</w:t>
      </w:r>
    </w:p>
    <w:p w14:paraId="3F653193">
      <w:pPr>
        <w:spacing w:line="500" w:lineRule="exact"/>
        <w:rPr>
          <w:rFonts w:ascii="宋体" w:hAnsi="宋体" w:eastAsia="宋体" w:cs="Times New Roman"/>
          <w:b/>
          <w:color w:val="000000" w:themeColor="text1"/>
          <w:sz w:val="28"/>
          <w:szCs w:val="20"/>
          <w:highlight w:val="none"/>
          <w14:textFill>
            <w14:solidFill>
              <w14:schemeClr w14:val="tx1"/>
            </w14:solidFill>
          </w14:textFill>
        </w:rPr>
      </w:pPr>
    </w:p>
    <w:p w14:paraId="67FEBC45">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第一章 竞争性磋商采购公告</w:t>
      </w:r>
    </w:p>
    <w:p w14:paraId="29A798D0">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第二章 磋商须知</w:t>
      </w:r>
    </w:p>
    <w:p w14:paraId="26EB53C7">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第三章 合同条款及格式.</w:t>
      </w:r>
    </w:p>
    <w:p w14:paraId="4FA0AB09">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第四章 工程量清单</w:t>
      </w:r>
    </w:p>
    <w:p w14:paraId="4E5F0E00">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第五章 图纸</w:t>
      </w:r>
    </w:p>
    <w:p w14:paraId="2EDEE904">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ascii="宋体" w:hAnsi="宋体" w:eastAsia="宋体" w:cs="Times New Roman"/>
          <w:b/>
          <w:color w:val="000000" w:themeColor="text1"/>
          <w:sz w:val="28"/>
          <w:szCs w:val="20"/>
          <w:highlight w:val="none"/>
          <w14:textFill>
            <w14:solidFill>
              <w14:schemeClr w14:val="tx1"/>
            </w14:solidFill>
          </w14:textFill>
        </w:rPr>
        <w:t>第</w:t>
      </w:r>
      <w:r>
        <w:rPr>
          <w:rFonts w:hint="eastAsia" w:ascii="宋体" w:hAnsi="宋体" w:eastAsia="宋体" w:cs="Times New Roman"/>
          <w:b/>
          <w:color w:val="000000" w:themeColor="text1"/>
          <w:sz w:val="28"/>
          <w:szCs w:val="20"/>
          <w:highlight w:val="none"/>
          <w14:textFill>
            <w14:solidFill>
              <w14:schemeClr w14:val="tx1"/>
            </w14:solidFill>
          </w14:textFill>
        </w:rPr>
        <w:t>六</w:t>
      </w:r>
      <w:r>
        <w:rPr>
          <w:rFonts w:ascii="宋体" w:hAnsi="宋体" w:eastAsia="宋体" w:cs="Times New Roman"/>
          <w:b/>
          <w:color w:val="000000" w:themeColor="text1"/>
          <w:sz w:val="28"/>
          <w:szCs w:val="20"/>
          <w:highlight w:val="none"/>
          <w14:textFill>
            <w14:solidFill>
              <w14:schemeClr w14:val="tx1"/>
            </w14:solidFill>
          </w14:textFill>
        </w:rPr>
        <w:t>章 项目需求</w:t>
      </w:r>
    </w:p>
    <w:p w14:paraId="47298642">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ascii="宋体" w:hAnsi="宋体" w:eastAsia="宋体" w:cs="Times New Roman"/>
          <w:b/>
          <w:color w:val="000000" w:themeColor="text1"/>
          <w:sz w:val="28"/>
          <w:szCs w:val="20"/>
          <w:highlight w:val="none"/>
          <w14:textFill>
            <w14:solidFill>
              <w14:schemeClr w14:val="tx1"/>
            </w14:solidFill>
          </w14:textFill>
        </w:rPr>
        <w:t>第</w:t>
      </w:r>
      <w:r>
        <w:rPr>
          <w:rFonts w:hint="eastAsia" w:ascii="宋体" w:hAnsi="宋体" w:eastAsia="宋体" w:cs="Times New Roman"/>
          <w:b/>
          <w:color w:val="000000" w:themeColor="text1"/>
          <w:sz w:val="28"/>
          <w:szCs w:val="20"/>
          <w:highlight w:val="none"/>
          <w14:textFill>
            <w14:solidFill>
              <w14:schemeClr w14:val="tx1"/>
            </w14:solidFill>
          </w14:textFill>
        </w:rPr>
        <w:t>七</w:t>
      </w:r>
      <w:r>
        <w:rPr>
          <w:rFonts w:ascii="宋体" w:hAnsi="宋体" w:eastAsia="宋体" w:cs="Times New Roman"/>
          <w:b/>
          <w:color w:val="000000" w:themeColor="text1"/>
          <w:sz w:val="28"/>
          <w:szCs w:val="20"/>
          <w:highlight w:val="none"/>
          <w14:textFill>
            <w14:solidFill>
              <w14:schemeClr w14:val="tx1"/>
            </w14:solidFill>
          </w14:textFill>
        </w:rPr>
        <w:t>章</w:t>
      </w:r>
      <w:r>
        <w:rPr>
          <w:rFonts w:hint="eastAsia" w:ascii="宋体" w:hAnsi="宋体" w:eastAsia="宋体" w:cs="Times New Roman"/>
          <w:b/>
          <w:color w:val="000000" w:themeColor="text1"/>
          <w:sz w:val="28"/>
          <w:szCs w:val="20"/>
          <w:highlight w:val="none"/>
          <w14:textFill>
            <w14:solidFill>
              <w14:schemeClr w14:val="tx1"/>
            </w14:solidFill>
          </w14:textFill>
        </w:rPr>
        <w:t xml:space="preserve"> 评审方法</w:t>
      </w:r>
    </w:p>
    <w:p w14:paraId="47543701">
      <w:pPr>
        <w:spacing w:line="500" w:lineRule="exact"/>
        <w:outlineLvl w:val="0"/>
        <w:rPr>
          <w:rFonts w:ascii="宋体" w:hAnsi="宋体" w:eastAsia="宋体" w:cs="Times New Roman"/>
          <w:b/>
          <w:color w:val="000000" w:themeColor="text1"/>
          <w:sz w:val="28"/>
          <w:szCs w:val="20"/>
          <w:highlight w:val="none"/>
          <w14:textFill>
            <w14:solidFill>
              <w14:schemeClr w14:val="tx1"/>
            </w14:solidFill>
          </w14:textFill>
        </w:rPr>
      </w:pPr>
      <w:r>
        <w:rPr>
          <w:rFonts w:hint="eastAsia" w:ascii="宋体" w:hAnsi="宋体" w:eastAsia="宋体" w:cs="Times New Roman"/>
          <w:b/>
          <w:color w:val="000000" w:themeColor="text1"/>
          <w:sz w:val="28"/>
          <w:szCs w:val="20"/>
          <w:highlight w:val="none"/>
          <w14:textFill>
            <w14:solidFill>
              <w14:schemeClr w14:val="tx1"/>
            </w14:solidFill>
          </w14:textFill>
        </w:rPr>
        <w:t>第八章 竞争性磋商响应文件格式</w:t>
      </w:r>
    </w:p>
    <w:p w14:paraId="75A7DEC6">
      <w:pPr>
        <w:pStyle w:val="239"/>
        <w:rPr>
          <w:color w:val="000000" w:themeColor="text1"/>
          <w:highlight w:val="none"/>
          <w:shd w:val="clear" w:color="auto" w:fill="FFFFFF"/>
          <w14:textFill>
            <w14:solidFill>
              <w14:schemeClr w14:val="tx1"/>
            </w14:solidFill>
          </w14:textFill>
        </w:rPr>
      </w:pPr>
    </w:p>
    <w:p w14:paraId="41AB0B12">
      <w:pPr>
        <w:pStyle w:val="239"/>
        <w:rPr>
          <w:rFonts w:ascii="宋体" w:hAnsi="宋体" w:cs="宋体"/>
          <w:color w:val="000000" w:themeColor="text1"/>
          <w:highlight w:val="none"/>
          <w:shd w:val="clear" w:color="auto" w:fill="FFFFFF"/>
          <w14:textFill>
            <w14:solidFill>
              <w14:schemeClr w14:val="tx1"/>
            </w14:solidFill>
          </w14:textFill>
        </w:rPr>
      </w:pPr>
    </w:p>
    <w:p w14:paraId="4D292B19">
      <w:pPr>
        <w:pStyle w:val="239"/>
        <w:rPr>
          <w:rFonts w:ascii="宋体" w:hAnsi="宋体" w:cs="宋体"/>
          <w:color w:val="000000" w:themeColor="text1"/>
          <w:highlight w:val="none"/>
          <w:shd w:val="clear" w:color="auto" w:fill="FFFFFF"/>
          <w14:textFill>
            <w14:solidFill>
              <w14:schemeClr w14:val="tx1"/>
            </w14:solidFill>
          </w14:textFill>
        </w:rPr>
      </w:pPr>
    </w:p>
    <w:p w14:paraId="248CD632">
      <w:pPr>
        <w:pStyle w:val="239"/>
        <w:rPr>
          <w:rFonts w:ascii="宋体" w:hAnsi="宋体" w:cs="宋体"/>
          <w:color w:val="000000" w:themeColor="text1"/>
          <w:highlight w:val="none"/>
          <w:shd w:val="clear" w:color="auto" w:fill="FFFFFF"/>
          <w14:textFill>
            <w14:solidFill>
              <w14:schemeClr w14:val="tx1"/>
            </w14:solidFill>
          </w14:textFill>
        </w:rPr>
      </w:pPr>
    </w:p>
    <w:p w14:paraId="204B1D02">
      <w:pPr>
        <w:pStyle w:val="239"/>
        <w:rPr>
          <w:rFonts w:ascii="宋体" w:hAnsi="宋体" w:cs="宋体"/>
          <w:color w:val="000000" w:themeColor="text1"/>
          <w:highlight w:val="none"/>
          <w:shd w:val="clear" w:color="auto" w:fill="FFFFFF"/>
          <w14:textFill>
            <w14:solidFill>
              <w14:schemeClr w14:val="tx1"/>
            </w14:solidFill>
          </w14:textFill>
        </w:rPr>
      </w:pPr>
    </w:p>
    <w:p w14:paraId="37C587A8">
      <w:pPr>
        <w:pStyle w:val="239"/>
        <w:rPr>
          <w:rFonts w:ascii="宋体" w:hAnsi="宋体" w:cs="宋体"/>
          <w:color w:val="000000" w:themeColor="text1"/>
          <w:highlight w:val="none"/>
          <w:shd w:val="clear" w:color="auto" w:fill="FFFFFF"/>
          <w14:textFill>
            <w14:solidFill>
              <w14:schemeClr w14:val="tx1"/>
            </w14:solidFill>
          </w14:textFill>
        </w:rPr>
      </w:pPr>
    </w:p>
    <w:p w14:paraId="721966BD">
      <w:pPr>
        <w:pStyle w:val="239"/>
        <w:rPr>
          <w:rFonts w:ascii="宋体" w:hAnsi="宋体" w:cs="宋体"/>
          <w:color w:val="000000" w:themeColor="text1"/>
          <w:highlight w:val="none"/>
          <w:shd w:val="clear" w:color="auto" w:fill="FFFFFF"/>
          <w14:textFill>
            <w14:solidFill>
              <w14:schemeClr w14:val="tx1"/>
            </w14:solidFill>
          </w14:textFill>
        </w:rPr>
      </w:pPr>
    </w:p>
    <w:p w14:paraId="7FD961CA">
      <w:pPr>
        <w:pStyle w:val="239"/>
        <w:rPr>
          <w:rFonts w:ascii="宋体" w:hAnsi="宋体" w:cs="宋体"/>
          <w:color w:val="000000" w:themeColor="text1"/>
          <w:highlight w:val="none"/>
          <w:shd w:val="clear" w:color="auto" w:fill="FFFFFF"/>
          <w14:textFill>
            <w14:solidFill>
              <w14:schemeClr w14:val="tx1"/>
            </w14:solidFill>
          </w14:textFill>
        </w:rPr>
      </w:pPr>
    </w:p>
    <w:p w14:paraId="4552F158">
      <w:pPr>
        <w:pStyle w:val="239"/>
        <w:rPr>
          <w:rFonts w:ascii="宋体" w:hAnsi="宋体" w:cs="宋体"/>
          <w:color w:val="000000" w:themeColor="text1"/>
          <w:highlight w:val="none"/>
          <w:shd w:val="clear" w:color="auto" w:fill="FFFFFF"/>
          <w14:textFill>
            <w14:solidFill>
              <w14:schemeClr w14:val="tx1"/>
            </w14:solidFill>
          </w14:textFill>
        </w:rPr>
      </w:pPr>
    </w:p>
    <w:p w14:paraId="6882364E">
      <w:pPr>
        <w:pStyle w:val="239"/>
        <w:rPr>
          <w:rFonts w:ascii="宋体" w:hAnsi="宋体" w:cs="宋体"/>
          <w:color w:val="000000" w:themeColor="text1"/>
          <w:highlight w:val="none"/>
          <w:shd w:val="clear" w:color="auto" w:fill="FFFFFF"/>
          <w14:textFill>
            <w14:solidFill>
              <w14:schemeClr w14:val="tx1"/>
            </w14:solidFill>
          </w14:textFill>
        </w:rPr>
      </w:pPr>
    </w:p>
    <w:p w14:paraId="53BB6F8F">
      <w:pPr>
        <w:pStyle w:val="239"/>
        <w:rPr>
          <w:color w:val="000000" w:themeColor="text1"/>
          <w:highlight w:val="none"/>
          <w:shd w:val="clear" w:color="auto" w:fill="FFFFFF"/>
          <w14:textFill>
            <w14:solidFill>
              <w14:schemeClr w14:val="tx1"/>
            </w14:solidFill>
          </w14:textFill>
        </w:rPr>
      </w:pPr>
    </w:p>
    <w:p w14:paraId="6249A29B">
      <w:pPr>
        <w:pStyle w:val="239"/>
        <w:rPr>
          <w:color w:val="000000" w:themeColor="text1"/>
          <w:highlight w:val="none"/>
          <w:shd w:val="clear" w:color="auto" w:fill="FFFFFF"/>
          <w14:textFill>
            <w14:solidFill>
              <w14:schemeClr w14:val="tx1"/>
            </w14:solidFill>
          </w14:textFill>
        </w:rPr>
      </w:pPr>
    </w:p>
    <w:p w14:paraId="6FC99FA7">
      <w:pPr>
        <w:pStyle w:val="239"/>
        <w:rPr>
          <w:color w:val="000000" w:themeColor="text1"/>
          <w:highlight w:val="none"/>
          <w:shd w:val="clear" w:color="auto" w:fill="FFFFFF"/>
          <w14:textFill>
            <w14:solidFill>
              <w14:schemeClr w14:val="tx1"/>
            </w14:solidFill>
          </w14:textFill>
        </w:rPr>
      </w:pPr>
    </w:p>
    <w:p w14:paraId="49EE4FD2">
      <w:pPr>
        <w:numPr>
          <w:ilvl w:val="0"/>
          <w:numId w:val="3"/>
        </w:numPr>
        <w:spacing w:line="360" w:lineRule="auto"/>
        <w:jc w:val="left"/>
        <w:outlineLvl w:val="0"/>
        <w:rPr>
          <w:rFonts w:ascii="宋体" w:hAnsi="宋体" w:eastAsia="宋体" w:cs="宋体"/>
          <w:b/>
          <w:bCs/>
          <w:color w:val="000000" w:themeColor="text1"/>
          <w:sz w:val="32"/>
          <w:szCs w:val="32"/>
          <w:highlight w:val="none"/>
          <w:shd w:val="clear" w:color="auto" w:fill="FFFFFF"/>
          <w14:textFill>
            <w14:solidFill>
              <w14:schemeClr w14:val="tx1"/>
            </w14:solidFill>
          </w14:textFill>
        </w:rPr>
        <w:sectPr>
          <w:footerReference r:id="rId3" w:type="default"/>
          <w:pgSz w:w="11906" w:h="16838"/>
          <w:pgMar w:top="1142" w:right="1304" w:bottom="1285" w:left="1588" w:header="851" w:footer="992" w:gutter="0"/>
          <w:cols w:space="720" w:num="1"/>
          <w:docGrid w:linePitch="360" w:charSpace="0"/>
        </w:sectPr>
      </w:pPr>
      <w:bookmarkStart w:id="0" w:name="OLE_LINK4"/>
      <w:bookmarkStart w:id="1" w:name="OLE_LINK2"/>
      <w:bookmarkStart w:id="2" w:name="OLE_LINK3"/>
      <w:bookmarkStart w:id="3" w:name="OLE_LINK1"/>
    </w:p>
    <w:p w14:paraId="17771019">
      <w:pPr>
        <w:numPr>
          <w:ilvl w:val="0"/>
          <w:numId w:val="3"/>
        </w:numPr>
        <w:spacing w:line="360" w:lineRule="auto"/>
        <w:jc w:val="left"/>
        <w:outlineLvl w:val="0"/>
        <w:rPr>
          <w:rFonts w:ascii="宋体" w:hAnsi="宋体" w:eastAsia="宋体" w:cs="宋体"/>
          <w:b/>
          <w:bCs/>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FFFFFF"/>
          <w14:textFill>
            <w14:solidFill>
              <w14:schemeClr w14:val="tx1"/>
            </w14:solidFill>
          </w14:textFill>
        </w:rPr>
        <w:t xml:space="preserve"> 竞争性磋商公告</w:t>
      </w:r>
    </w:p>
    <w:tbl>
      <w:tblPr>
        <w:tblStyle w:val="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395636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5B5AA03">
            <w:pPr>
              <w:pBdr>
                <w:top w:val="none" w:color="000000" w:sz="0" w:space="0"/>
                <w:left w:val="none" w:color="000000" w:sz="0" w:space="0"/>
                <w:bottom w:val="none" w:color="000000" w:sz="0" w:space="0"/>
                <w:right w:val="none" w:color="000000" w:sz="0" w:space="0"/>
              </w:pBdr>
              <w:rPr>
                <w:rFonts w:ascii="宋体" w:hAnsi="宋体" w:eastAsia="宋体" w:cs="宋体"/>
                <w:color w:val="000000" w:themeColor="text1"/>
                <w:sz w:val="22"/>
                <w:highlight w:val="none"/>
                <w:lang w:eastAsia="en-US"/>
                <w14:textFill>
                  <w14:solidFill>
                    <w14:schemeClr w14:val="tx1"/>
                  </w14:solidFill>
                </w14:textFill>
              </w:rPr>
            </w:pPr>
            <w:r>
              <w:rPr>
                <w:rFonts w:hint="eastAsia" w:ascii="宋体" w:hAnsi="宋体" w:eastAsia="宋体" w:cs="宋体"/>
                <w:b/>
                <w:color w:val="000000" w:themeColor="text1"/>
                <w:sz w:val="20"/>
                <w:highlight w:val="none"/>
                <w:lang w:eastAsia="en-US"/>
                <w14:textFill>
                  <w14:solidFill>
                    <w14:schemeClr w14:val="tx1"/>
                  </w14:solidFill>
                </w14:textFill>
              </w:rPr>
              <w:t> </w:t>
            </w:r>
            <w:r>
              <w:rPr>
                <w:rFonts w:hint="eastAsia" w:ascii="宋体" w:hAnsi="宋体" w:eastAsia="宋体" w:cs="宋体"/>
                <w:color w:val="000000" w:themeColor="text1"/>
                <w:sz w:val="22"/>
                <w:highlight w:val="none"/>
                <w:lang w:eastAsia="en-US"/>
                <w14:textFill>
                  <w14:solidFill>
                    <w14:schemeClr w14:val="tx1"/>
                  </w14:solidFill>
                </w14:textFill>
              </w:rPr>
              <w:t>项目概况</w:t>
            </w:r>
          </w:p>
          <w:p w14:paraId="18DD2E9F">
            <w:pPr>
              <w:pBdr>
                <w:top w:val="none" w:color="000000" w:sz="0" w:space="0"/>
                <w:left w:val="none" w:color="000000" w:sz="0" w:space="0"/>
                <w:bottom w:val="none" w:color="000000" w:sz="0" w:space="0"/>
                <w:right w:val="none" w:color="000000" w:sz="0" w:space="0"/>
              </w:pBdr>
              <w:spacing w:before="42" w:line="400" w:lineRule="atLeast"/>
              <w:ind w:left="108" w:right="108" w:firstLine="482"/>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u w:val="single"/>
                <w14:textFill>
                  <w14:solidFill>
                    <w14:schemeClr w14:val="tx1"/>
                  </w14:solidFill>
                </w14:textFill>
              </w:rPr>
              <w:t>连云港市临洪东站110KV变电所自动化保护系统维修改造项目（专门面向中小企业）</w:t>
            </w:r>
            <w:r>
              <w:rPr>
                <w:rFonts w:hint="eastAsia" w:ascii="宋体" w:hAnsi="宋体" w:eastAsia="宋体" w:cs="宋体"/>
                <w:color w:val="000000" w:themeColor="text1"/>
                <w:sz w:val="22"/>
                <w:highlight w:val="none"/>
                <w14:textFill>
                  <w14:solidFill>
                    <w14:schemeClr w14:val="tx1"/>
                  </w14:solidFill>
                </w14:textFill>
              </w:rPr>
              <w:t>采购项目的潜在供应商应在</w:t>
            </w:r>
            <w:r>
              <w:rPr>
                <w:rFonts w:hint="eastAsia" w:ascii="宋体" w:hAnsi="宋体" w:eastAsia="宋体" w:cs="宋体"/>
                <w:b/>
                <w:color w:val="000000" w:themeColor="text1"/>
                <w:sz w:val="22"/>
                <w:highlight w:val="none"/>
                <w:u w:val="single"/>
                <w14:textFill>
                  <w14:solidFill>
                    <w14:schemeClr w14:val="tx1"/>
                  </w14:solidFill>
                </w14:textFill>
              </w:rPr>
              <w:t>江苏政府采购网“苏采云系统”内</w:t>
            </w:r>
            <w:r>
              <w:rPr>
                <w:rFonts w:hint="eastAsia" w:ascii="宋体" w:hAnsi="宋体" w:eastAsia="宋体" w:cs="宋体"/>
                <w:color w:val="000000" w:themeColor="text1"/>
                <w:sz w:val="22"/>
                <w:highlight w:val="none"/>
                <w14:textFill>
                  <w14:solidFill>
                    <w14:schemeClr w14:val="tx1"/>
                  </w14:solidFill>
                </w14:textFill>
              </w:rPr>
              <w:t>获取采购文件，</w:t>
            </w:r>
            <w:r>
              <w:rPr>
                <w:rFonts w:hint="eastAsia" w:ascii="宋体" w:hAnsi="宋体" w:eastAsia="宋体" w:cs="宋体"/>
                <w:color w:val="000000" w:themeColor="text1"/>
                <w:sz w:val="20"/>
                <w:szCs w:val="20"/>
                <w:highlight w:val="none"/>
                <w14:textFill>
                  <w14:solidFill>
                    <w14:schemeClr w14:val="tx1"/>
                  </w14:solidFill>
                </w14:textFill>
              </w:rPr>
              <w:t>并于</w:t>
            </w:r>
            <w:r>
              <w:rPr>
                <w:rFonts w:hint="eastAsia" w:ascii="宋体" w:hAnsi="宋体" w:eastAsia="宋体" w:cs="宋体"/>
                <w:b/>
                <w:color w:val="000000" w:themeColor="text1"/>
                <w:sz w:val="22"/>
                <w:highlight w:val="none"/>
                <w:u w:val="single"/>
                <w14:textFill>
                  <w14:solidFill>
                    <w14:schemeClr w14:val="tx1"/>
                  </w14:solidFill>
                </w14:textFill>
              </w:rPr>
              <w:t>2025年12月22日上午 09:00:00</w:t>
            </w:r>
            <w:r>
              <w:rPr>
                <w:rFonts w:hint="eastAsia" w:ascii="宋体" w:hAnsi="宋体" w:eastAsia="宋体" w:cs="宋体"/>
                <w:color w:val="000000" w:themeColor="text1"/>
                <w:sz w:val="22"/>
                <w:highlight w:val="none"/>
                <w14:textFill>
                  <w14:solidFill>
                    <w14:schemeClr w14:val="tx1"/>
                  </w14:solidFill>
                </w14:textFill>
              </w:rPr>
              <w:t>（北京时间）前</w:t>
            </w:r>
            <w:r>
              <w:rPr>
                <w:rFonts w:hint="eastAsia" w:ascii="宋体" w:hAnsi="宋体" w:eastAsia="宋体" w:cs="宋体"/>
                <w:b/>
                <w:color w:val="000000" w:themeColor="text1"/>
                <w:sz w:val="22"/>
                <w:highlight w:val="none"/>
                <w14:textFill>
                  <w14:solidFill>
                    <w14:schemeClr w14:val="tx1"/>
                  </w14:solidFill>
                </w14:textFill>
              </w:rPr>
              <w:t>上传电子响应文件</w:t>
            </w:r>
            <w:r>
              <w:rPr>
                <w:rFonts w:hint="eastAsia" w:ascii="宋体" w:hAnsi="宋体" w:eastAsia="宋体" w:cs="宋体"/>
                <w:color w:val="000000" w:themeColor="text1"/>
                <w:sz w:val="22"/>
                <w:highlight w:val="none"/>
                <w14:textFill>
                  <w14:solidFill>
                    <w14:schemeClr w14:val="tx1"/>
                  </w14:solidFill>
                </w14:textFill>
              </w:rPr>
              <w:t>。</w:t>
            </w:r>
          </w:p>
        </w:tc>
      </w:tr>
    </w:tbl>
    <w:p w14:paraId="162003FE">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一、项目基本情况</w:t>
      </w:r>
    </w:p>
    <w:p w14:paraId="30ADE9D0">
      <w:pPr>
        <w:spacing w:line="360" w:lineRule="auto"/>
        <w:ind w:firstLine="480"/>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采购方式：</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竞争性磋商</w:t>
      </w:r>
    </w:p>
    <w:p w14:paraId="222EF60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2"/>
          <w:highlight w:val="none"/>
          <w:u w:val="single"/>
          <w14:textFill>
            <w14:solidFill>
              <w14:schemeClr w14:val="tx1"/>
            </w14:solidFill>
          </w14:textFill>
        </w:rPr>
        <w:t>连云港市临洪东站110KV变电所自动化保护系统维修改造项目（专门面向中小企业）</w:t>
      </w:r>
    </w:p>
    <w:p w14:paraId="66C8021F">
      <w:pPr>
        <w:spacing w:line="360" w:lineRule="auto"/>
        <w:ind w:firstLine="480"/>
        <w:outlineLvl w:val="2"/>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项目编号：</w:t>
      </w:r>
      <w:bookmarkStart w:id="4" w:name="OLE_LINK51"/>
      <w:bookmarkStart w:id="5" w:name="OLE_LINK5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JSZC-320700-BHXM-C2025-0016</w:t>
      </w:r>
    </w:p>
    <w:p w14:paraId="1CE5E718">
      <w:pPr>
        <w:spacing w:line="360" w:lineRule="auto"/>
        <w:ind w:firstLine="480"/>
        <w:outlineLvl w:val="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预算金额：人民币90万</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元</w:t>
      </w:r>
      <w:bookmarkEnd w:id="4"/>
      <w:bookmarkEnd w:id="5"/>
    </w:p>
    <w:p w14:paraId="23CAFEBD">
      <w:pPr>
        <w:spacing w:line="360" w:lineRule="auto"/>
        <w:ind w:firstLine="480"/>
        <w:outlineLvl w:val="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最高限价</w:t>
      </w:r>
      <w:r>
        <w:rPr>
          <w:rFonts w:hint="eastAsia" w:ascii="宋体" w:hAnsi="宋体"/>
          <w:b/>
          <w:bCs/>
          <w:color w:val="000000" w:themeColor="text1"/>
          <w:szCs w:val="28"/>
          <w:highlight w:val="none"/>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人民币90万元，报价超过最高限价的按无效响应处理；</w:t>
      </w:r>
    </w:p>
    <w:p w14:paraId="488FB2A1">
      <w:pPr>
        <w:shd w:val="clear" w:color="auto" w:fill="FFFFFF"/>
        <w:spacing w:line="360" w:lineRule="auto"/>
        <w:ind w:firstLine="480"/>
        <w:rPr>
          <w:rFonts w:ascii="宋体" w:hAnsi="宋体" w:eastAsia="宋体" w:cs="宋体"/>
          <w:color w:val="000000" w:themeColor="text1"/>
          <w:sz w:val="24"/>
          <w:szCs w:val="24"/>
          <w:highlight w:val="none"/>
          <w:shd w:val="clear" w:color="auto" w:fill="FFFFFF"/>
          <w14:textFill>
            <w14:solidFill>
              <w14:schemeClr w14:val="tx1"/>
            </w14:solidFill>
          </w14:textFill>
        </w:rPr>
      </w:pPr>
      <w:bookmarkStart w:id="6" w:name="OLE_LINK49"/>
      <w:bookmarkStart w:id="7" w:name="OLE_LINK4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采购需求：</w:t>
      </w:r>
      <w:bookmarkEnd w:id="6"/>
      <w:bookmarkEnd w:id="7"/>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连云港临洪东变电所保护设备及屏体、直流设备及屏体、控制柜设备等，包括原设备拆除、新设备安装、接线、配合保护试验、后台开发调试等工作，具体详见工程量清单；</w:t>
      </w:r>
    </w:p>
    <w:p w14:paraId="5D736A08">
      <w:pPr>
        <w:shd w:val="clear" w:color="auto" w:fill="FFFFFF"/>
        <w:spacing w:line="360" w:lineRule="auto"/>
        <w:ind w:firstLine="480"/>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对本项目资格要求、采购需求、评审方法与评审标准等部分的询问、质疑请与采购人联系，由采购人负责答复。</w:t>
      </w:r>
    </w:p>
    <w:p w14:paraId="3785AD6F">
      <w:pPr>
        <w:spacing w:line="360" w:lineRule="auto"/>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工  期：90日历天（具体开工日期以采购人发出的书面开工令为准）</w:t>
      </w:r>
    </w:p>
    <w:p w14:paraId="515C8055">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质量标准：合格。</w:t>
      </w:r>
    </w:p>
    <w:p w14:paraId="56FBF30D">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b/>
          <w:color w:val="000000" w:themeColor="text1"/>
          <w:sz w:val="24"/>
          <w:szCs w:val="24"/>
          <w:highlight w:val="none"/>
          <w:u w:val="single"/>
          <w14:textFill>
            <w14:solidFill>
              <w14:schemeClr w14:val="tx1"/>
            </w14:solidFill>
          </w14:textFill>
        </w:rPr>
        <w:t>不接受</w:t>
      </w:r>
      <w:r>
        <w:rPr>
          <w:rFonts w:hint="eastAsia" w:ascii="宋体" w:hAnsi="宋体" w:eastAsia="宋体" w:cs="宋体"/>
          <w:color w:val="000000" w:themeColor="text1"/>
          <w:sz w:val="24"/>
          <w:szCs w:val="24"/>
          <w:highlight w:val="none"/>
          <w14:textFill>
            <w14:solidFill>
              <w14:schemeClr w14:val="tx1"/>
            </w14:solidFill>
          </w14:textFill>
        </w:rPr>
        <w:t>联合体磋商。</w:t>
      </w:r>
    </w:p>
    <w:p w14:paraId="53D68BFF">
      <w:pPr>
        <w:shd w:val="clear" w:color="auto" w:fill="FFFFFF"/>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二、申请人的资格要求：</w:t>
      </w:r>
    </w:p>
    <w:p w14:paraId="5D14FAEB">
      <w:pPr>
        <w:spacing w:line="360" w:lineRule="auto"/>
        <w:ind w:firstLine="48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（一）符合政府采购法第二十二条规定的条件，并提供下列材料；</w:t>
      </w:r>
    </w:p>
    <w:p w14:paraId="314B4F7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1、法人或者其他组织的营业执照等证明文件，自然人的身份证明；</w:t>
      </w:r>
    </w:p>
    <w:p w14:paraId="41CD5E6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2、有良好的商业信誉和健全的财务会计制度。（按连财购〔2023〕4 号文件要求， 符合要求的提交《财务状况报告及税收、社会保障资金缴纳情况承诺函》，格式详见采购文件）； </w:t>
      </w:r>
    </w:p>
    <w:p w14:paraId="6382183A">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3、依法缴纳税收和社会保障资金的相关材料。（按连财购〔2023〕4 号文件要求，符合要求的提交《财务状况报告及税收、社会保障资金缴纳情况承诺函》，格式详见采购文件）； </w:t>
      </w:r>
    </w:p>
    <w:p w14:paraId="254BD4BE">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4、具备履行合同所必需的设备和专业技术能力的声明及证明材料（承诺文件见采购文件格式，后附证明材料）； </w:t>
      </w:r>
    </w:p>
    <w:p w14:paraId="6C714312">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5、参加政府采购活动前三年内在经营活动中没有重大违法记录的书面声明（承诺文件见采购文件格式）。</w:t>
      </w:r>
    </w:p>
    <w:p w14:paraId="713122C9">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6、本项目不接受联合体磋商，成交后不得转包或分包。</w:t>
      </w:r>
    </w:p>
    <w:p w14:paraId="25DB723C">
      <w:pPr>
        <w:spacing w:line="480" w:lineRule="exact"/>
        <w:ind w:firstLine="48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落实政府采购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p>
    <w:p w14:paraId="75F03DBE">
      <w:pPr>
        <w:widowControl/>
        <w:shd w:val="clear" w:color="auto" w:fill="FFFFFF"/>
        <w:spacing w:line="480" w:lineRule="exact"/>
        <w:ind w:firstLine="482"/>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（三）本项目的特定资格要求：</w:t>
      </w:r>
    </w:p>
    <w:p w14:paraId="54424F34">
      <w:pPr>
        <w:widowControl/>
        <w:shd w:val="clear" w:color="auto" w:fill="FFFFFF"/>
        <w:spacing w:line="480" w:lineRule="exact"/>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（1）供应商须具备建设行政主管部门核发的电子与智能化工程专业承包二级及以上资质，且具有建设主管部门颁发的有效的安全生产许可证。</w:t>
      </w:r>
    </w:p>
    <w:p w14:paraId="45C3112C">
      <w:pPr>
        <w:widowControl/>
        <w:shd w:val="clear" w:color="auto" w:fill="FFFFFF"/>
        <w:spacing w:line="480" w:lineRule="exact"/>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（2）拟派项目负责人须具备建设行政主管部门核发机电工程专业贰级及以上注册建造师资格，并具有有效的安全生产考核合格证书（B类）</w:t>
      </w:r>
    </w:p>
    <w:p w14:paraId="5A454C53">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本项目要求授权委托人必须为项目负责人</w:t>
      </w:r>
      <w:r>
        <w:rPr>
          <w:rFonts w:hint="eastAsia" w:ascii="宋体" w:hAnsi="宋体" w:eastAsia="宋体" w:cs="宋体"/>
          <w:color w:val="000000" w:themeColor="text1"/>
          <w:sz w:val="24"/>
          <w:szCs w:val="24"/>
          <w:highlight w:val="none"/>
          <w14:textFill>
            <w14:solidFill>
              <w14:schemeClr w14:val="tx1"/>
            </w14:solidFill>
          </w14:textFill>
        </w:rPr>
        <w:t>，拟派项目负责人必须为投标单位的员工</w:t>
      </w:r>
      <w:r>
        <w:rPr>
          <w:rFonts w:hint="eastAsia" w:ascii="宋体" w:hAnsi="宋体" w:eastAsia="宋体" w:cs="宋体"/>
          <w:b/>
          <w:color w:val="000000" w:themeColor="text1"/>
          <w:sz w:val="24"/>
          <w:szCs w:val="24"/>
          <w:highlight w:val="none"/>
          <w14:textFill>
            <w14:solidFill>
              <w14:schemeClr w14:val="tx1"/>
            </w14:solidFill>
          </w14:textFill>
        </w:rPr>
        <w:t>，提供授权委托书及由供应商为其缴纳的响应文件截止时间前任意一个月或最近一个月的社保缴纳证明（加盖社保中心章或社保中心参保缴费证明电子专用章），</w:t>
      </w:r>
      <w:r>
        <w:rPr>
          <w:rFonts w:hint="eastAsia" w:ascii="宋体" w:hAnsi="宋体" w:eastAsia="宋体" w:cs="宋体"/>
          <w:color w:val="000000" w:themeColor="text1"/>
          <w:sz w:val="24"/>
          <w:szCs w:val="24"/>
          <w:highlight w:val="none"/>
          <w14:textFill>
            <w14:solidFill>
              <w14:schemeClr w14:val="tx1"/>
            </w14:solidFill>
          </w14:textFill>
        </w:rPr>
        <w:t>如是退休人员仍在执业有效期内的，应提供相关退休证明及聘用合同。</w:t>
      </w:r>
    </w:p>
    <w:p w14:paraId="35BCF99A">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（4）供应商及项目负责人未被建设行政主管部门限制在招标项目所在地投标、绝不出借挂靠资质等采用信用承诺方式由投标人自行承诺。（格式详见“投标人承诺书”）</w:t>
      </w:r>
    </w:p>
    <w:p w14:paraId="41BEBC34">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（5）投标人（超过3年）、法定代表人（超过5年）、项目负责人（超过5年）无行贿犯罪记录，由投标人自行承诺。（格式详见“投标人承诺书”）</w:t>
      </w:r>
    </w:p>
    <w:p w14:paraId="0E740BA5">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（6）若投标人法定代表人参与投标，则仅需提供法定代表人身份证；若授权代理人参与投标，则需提供企业法人委托书、授权人身份证、被授权人身份证。</w:t>
      </w:r>
    </w:p>
    <w:p w14:paraId="53AEB603">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p>
    <w:p w14:paraId="20A287A1">
      <w:pPr>
        <w:widowControl/>
        <w:shd w:val="clear" w:color="auto" w:fill="FFFFFF"/>
        <w:spacing w:line="480" w:lineRule="exact"/>
        <w:ind w:firstLine="482"/>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（四）其他资格要求：</w:t>
      </w:r>
    </w:p>
    <w:p w14:paraId="3A50B0D6">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（1）响应文件递交截止前，被信用中国、中国政府采购网列入失信被执行人、重大税收违法案件当事人名单、政府采购严重违法失信行为记录名单的供应商，拒绝其参与政府采购活动；</w:t>
      </w:r>
    </w:p>
    <w:p w14:paraId="13D10B8B">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备注：采购人或采购代理机构通过信用中国网站（www.creditchina.gov.cn）、中国政府采购网（www.ccgp.gov.cn），对供应商信用记录情况进行查询，查询结果页面打印留存；</w:t>
      </w:r>
    </w:p>
    <w:p w14:paraId="0E97AD07">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（2）单位负责人为同一人或者存在直接控股、管理关系的不同供应商，不得参加同一合同项下的政府采购活动。</w:t>
      </w:r>
    </w:p>
    <w:p w14:paraId="21D9FB50">
      <w:pPr>
        <w:widowControl/>
        <w:shd w:val="clear" w:color="auto" w:fill="FFFFFF"/>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（3）法律、法规规定的其他条件。</w:t>
      </w:r>
    </w:p>
    <w:p w14:paraId="313A909D">
      <w:pPr>
        <w:spacing w:line="480" w:lineRule="exact"/>
        <w:ind w:firstLine="48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三、获取采购文件</w:t>
      </w:r>
    </w:p>
    <w:p w14:paraId="4F51F54A">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1.获取时间：</w:t>
      </w:r>
      <w:r>
        <w:rPr>
          <w:rFonts w:hint="eastAsia" w:ascii="宋体" w:hAnsi="宋体" w:eastAsia="宋体" w:cs="宋体"/>
          <w:b/>
          <w:color w:val="000000" w:themeColor="text1"/>
          <w:sz w:val="24"/>
          <w:szCs w:val="24"/>
          <w:highlight w:val="none"/>
          <w14:textFill>
            <w14:solidFill>
              <w14:schemeClr w14:val="tx1"/>
            </w14:solidFill>
          </w14:textFill>
        </w:rPr>
        <w:t>2025年12月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color w:val="000000" w:themeColor="text1"/>
          <w:sz w:val="24"/>
          <w:szCs w:val="24"/>
          <w:highlight w:val="none"/>
          <w14:textFill>
            <w14:solidFill>
              <w14:schemeClr w14:val="tx1"/>
            </w14:solidFill>
          </w14:textFill>
        </w:rPr>
        <w:t>日至2025年12月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14:textFill>
            <w14:solidFill>
              <w14:schemeClr w14:val="tx1"/>
            </w14:solidFill>
          </w14:textFill>
        </w:rPr>
        <w:t>（北京时间）</w:t>
      </w:r>
    </w:p>
    <w:p w14:paraId="3FFEA111">
      <w:pPr>
        <w:widowControl/>
        <w:spacing w:line="480" w:lineRule="exact"/>
        <w:ind w:firstLine="480"/>
        <w:contextualSpacing/>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2.获取方式：网上注册登记成功后系统内自行免费下载。</w:t>
      </w:r>
    </w:p>
    <w:p w14:paraId="47187453">
      <w:pPr>
        <w:widowControl/>
        <w:spacing w:line="480" w:lineRule="exact"/>
        <w:ind w:firstLine="480"/>
        <w:contextualSpacing/>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2.1潜在供应商访问电子招标响应交易平台的网络地址和方法：</w:t>
      </w:r>
    </w:p>
    <w:p w14:paraId="5F8437A9">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C655D36">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2.2潜在供应商访问“苏采云”系统的网络地址和方法：“苏采云”系统的网址：http://jszfcg.jsczt.cn/。</w:t>
      </w:r>
    </w:p>
    <w:p w14:paraId="27650E4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2.3“CA数字证书”的获取：</w:t>
      </w:r>
    </w:p>
    <w:p w14:paraId="389E2C8A">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响应供应商需办理“CA 数字证书”，CA办理指南及“苏采云”操作手册可至江苏省政府采购网―办事指南-资料下载中心下载。</w:t>
      </w:r>
    </w:p>
    <w:p w14:paraId="11046B43">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通过苏采云系统首页（http://jszfcg.jscz.gov.cn/）的“苏采云控件驱动下载”，选择“政务CA、方正签章控件驱动安装包及安装说明”下载安装，具体安装方法详见下载文件内的《安装说明》。</w:t>
      </w:r>
    </w:p>
    <w:p w14:paraId="6F561184">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2.4采购文件（</w:t>
      </w:r>
      <w:r>
        <w:rPr>
          <w:rFonts w:hint="eastAsia" w:ascii="宋体" w:hAnsi="宋体" w:eastAsia="宋体" w:cs="宋体"/>
          <w:b/>
          <w:color w:val="000000" w:themeColor="text1"/>
          <w:sz w:val="24"/>
          <w:szCs w:val="24"/>
          <w:highlight w:val="none"/>
          <w14:textFill>
            <w14:solidFill>
              <w14:schemeClr w14:val="tx1"/>
            </w14:solidFill>
          </w14:textFill>
        </w:rPr>
        <w:t>后缀名为“.kedt</w:t>
      </w:r>
      <w:r>
        <w:rPr>
          <w:rFonts w:hint="eastAsia" w:ascii="宋体" w:hAnsi="宋体" w:eastAsia="宋体" w:cs="宋体"/>
          <w:color w:val="000000" w:themeColor="text1"/>
          <w:sz w:val="24"/>
          <w:szCs w:val="24"/>
          <w:highlight w:val="none"/>
          <w14:textFill>
            <w14:solidFill>
              <w14:schemeClr w14:val="tx1"/>
            </w14:solidFill>
          </w14:textFill>
        </w:rPr>
        <w:t>”）、供应商操作手册及政府采购客户端工具可通过“苏采云”系统--已报名项目--报名详情页面内相应链接进行下载。</w:t>
      </w:r>
    </w:p>
    <w:p w14:paraId="35E41E24">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2.5采购人或采购代理机构将数据电文形式的采购文件加载至“苏采云”系统，供潜在供应商下载或者查阅。</w:t>
      </w:r>
    </w:p>
    <w:p w14:paraId="5F1E3E6D">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2.6请潜在供应商提前安装相应的控件（详见《江苏省政府采购管理交易系统（苏采云）供应商操作手册》）并登录“苏采云”系统参与不见面开评标。</w:t>
      </w:r>
    </w:p>
    <w:p w14:paraId="440D1234">
      <w:pPr>
        <w:spacing w:line="360" w:lineRule="auto"/>
        <w:ind w:firstLine="48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注：如潜在供应商未按上述要求操作，将自行承担所产生的风险。</w:t>
      </w:r>
    </w:p>
    <w:p w14:paraId="3D6BA8BF">
      <w:pPr>
        <w:spacing w:line="360" w:lineRule="auto"/>
        <w:ind w:firstLine="482"/>
        <w:outlineLvl w:val="1"/>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四、提交响应文件截止时间及开标时间、地点</w:t>
      </w:r>
    </w:p>
    <w:p w14:paraId="4905FF96">
      <w:pPr>
        <w:spacing w:line="360" w:lineRule="auto"/>
        <w:ind w:firstLine="48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1、电子响应文件上传截止时间：</w:t>
      </w:r>
      <w:r>
        <w:rPr>
          <w:rFonts w:hint="eastAsia" w:ascii="宋体" w:hAnsi="宋体" w:eastAsia="宋体" w:cs="宋体"/>
          <w:b/>
          <w:color w:val="000000" w:themeColor="text1"/>
          <w:sz w:val="24"/>
          <w:szCs w:val="24"/>
          <w:highlight w:val="none"/>
          <w14:textFill>
            <w14:solidFill>
              <w14:schemeClr w14:val="tx1"/>
            </w14:solidFill>
          </w14:textFill>
        </w:rPr>
        <w:t>2025年12月22日上午09时00分（北京时间）</w:t>
      </w:r>
    </w:p>
    <w:p w14:paraId="75D23660">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2、开标时间与地点：</w:t>
      </w:r>
    </w:p>
    <w:p w14:paraId="5BE8CF1E">
      <w:pPr>
        <w:spacing w:line="360" w:lineRule="auto"/>
        <w:ind w:firstLine="48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b/>
          <w:color w:val="000000" w:themeColor="text1"/>
          <w:sz w:val="24"/>
          <w:szCs w:val="24"/>
          <w:highlight w:val="none"/>
          <w14:textFill>
            <w14:solidFill>
              <w14:schemeClr w14:val="tx1"/>
            </w14:solidFill>
          </w14:textFill>
        </w:rPr>
        <w:t>2025年12月22日上午09时00分（北京时间）</w:t>
      </w:r>
    </w:p>
    <w:p w14:paraId="19A9E70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地址：“苏采云”系统网上开标大厅。</w:t>
      </w:r>
    </w:p>
    <w:p w14:paraId="2090590B">
      <w:pPr>
        <w:tabs>
          <w:tab w:val="left" w:pos="900"/>
        </w:tabs>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3、本工程采用远程不见面交易模式，投标人自行选择任意地点参加远程开标会。</w:t>
      </w:r>
      <w:r>
        <w:rPr>
          <w:rFonts w:hint="eastAsia" w:ascii="宋体" w:hAnsi="宋体" w:eastAsia="宋体" w:cs="宋体"/>
          <w:color w:val="000000" w:themeColor="text1"/>
          <w:sz w:val="24"/>
          <w:szCs w:val="24"/>
          <w:highlight w:val="none"/>
          <w14:textFill>
            <w14:solidFill>
              <w14:schemeClr w14:val="tx1"/>
            </w14:solidFill>
          </w14:textFill>
        </w:rPr>
        <w:t xml:space="preserve">供应商必须提前登录不见面开标大厅，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 </w:t>
      </w:r>
    </w:p>
    <w:p w14:paraId="6C4674AA">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themeColor="text1"/>
          <w:sz w:val="24"/>
          <w:szCs w:val="24"/>
          <w:highlight w:val="none"/>
          <w14:textFill>
            <w14:solidFill>
              <w14:schemeClr w14:val="tx1"/>
            </w14:solidFill>
          </w14:textFill>
        </w:rPr>
        <w:t>投标供应商解密限定在开标后30分钟之内完成</w:t>
      </w:r>
      <w:r>
        <w:rPr>
          <w:rFonts w:hint="eastAsia" w:ascii="宋体" w:hAnsi="宋体" w:eastAsia="宋体" w:cs="宋体"/>
          <w:color w:val="000000" w:themeColor="text1"/>
          <w:sz w:val="24"/>
          <w:szCs w:val="24"/>
          <w:highlight w:val="none"/>
          <w14:textFill>
            <w14:solidFill>
              <w14:schemeClr w14:val="tx1"/>
            </w14:solidFill>
          </w14:textFill>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73F6648">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本项目采购方式为竞争性磋商，评审过程中依次有磋商环节和二次（最后）报价环节，</w:t>
      </w:r>
      <w:r>
        <w:rPr>
          <w:rFonts w:hint="eastAsia" w:ascii="宋体" w:hAnsi="宋体" w:eastAsia="宋体" w:cs="宋体"/>
          <w:b/>
          <w:bCs/>
          <w:color w:val="000000" w:themeColor="text1"/>
          <w:sz w:val="24"/>
          <w:szCs w:val="24"/>
          <w:highlight w:val="none"/>
          <w14:textFill>
            <w14:solidFill>
              <w14:schemeClr w14:val="tx1"/>
            </w14:solidFill>
          </w14:textFill>
        </w:rPr>
        <w:t>各供应商请及时关注开标大厅交流区，在开标结束后，请勿离开开标大厅。初步评审环节结束后苏采云系统将通知供应商在规定时间内进行磋商及最后报价填报，</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如供应商因自身原因错过相应环节，责任自负。</w:t>
      </w:r>
    </w:p>
    <w:p w14:paraId="7D288077">
      <w:pPr>
        <w:spacing w:line="360" w:lineRule="auto"/>
        <w:ind w:firstLine="48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所有的响应供应商须在苏采云系统规定时间内填写并提交最后报价，未在磋商小组规定的时间内完成最后报价的视为放弃磋商，其磋商响应按无效响应处理。</w:t>
      </w:r>
      <w:bookmarkEnd w:id="0"/>
      <w:bookmarkEnd w:id="1"/>
    </w:p>
    <w:p w14:paraId="17A87CF8">
      <w:pPr>
        <w:spacing w:line="360" w:lineRule="auto"/>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五、公告期限</w:t>
      </w:r>
    </w:p>
    <w:p w14:paraId="173D275C">
      <w:pPr>
        <w:spacing w:line="360" w:lineRule="auto"/>
        <w:ind w:firstLine="480"/>
        <w:rPr>
          <w:rFonts w:ascii="宋体" w:hAnsi="宋体" w:eastAsia="宋体" w:cs="宋体"/>
          <w:b/>
          <w:color w:val="000000" w:themeColor="text1"/>
          <w:sz w:val="24"/>
          <w:szCs w:val="24"/>
          <w:highlight w:val="none"/>
          <w14:textFill>
            <w14:solidFill>
              <w14:schemeClr w14:val="tx1"/>
            </w14:solidFill>
          </w14:textFill>
        </w:rPr>
      </w:pPr>
      <w:bookmarkStart w:id="8" w:name="_Toc35393804"/>
      <w:bookmarkStart w:id="9" w:name="_Toc35393635"/>
      <w:r>
        <w:rPr>
          <w:rFonts w:hint="eastAsia" w:ascii="宋体" w:hAnsi="宋体" w:eastAsia="宋体" w:cs="宋体"/>
          <w:bCs/>
          <w:color w:val="000000" w:themeColor="text1"/>
          <w:sz w:val="24"/>
          <w:szCs w:val="24"/>
          <w:highlight w:val="none"/>
          <w14:textFill>
            <w14:solidFill>
              <w14:schemeClr w14:val="tx1"/>
            </w14:solidFill>
          </w14:textFill>
        </w:rPr>
        <w:t>本项目公告期限为</w:t>
      </w:r>
      <w:r>
        <w:rPr>
          <w:rFonts w:hint="eastAsia" w:ascii="宋体" w:hAnsi="宋体" w:eastAsia="宋体" w:cs="宋体"/>
          <w:b/>
          <w:bCs/>
          <w:color w:val="000000" w:themeColor="text1"/>
          <w:sz w:val="24"/>
          <w:szCs w:val="24"/>
          <w:highlight w:val="none"/>
          <w14:textFill>
            <w14:solidFill>
              <w14:schemeClr w14:val="tx1"/>
            </w14:solidFill>
          </w14:textFill>
        </w:rPr>
        <w:t>3个工作日</w:t>
      </w:r>
      <w:r>
        <w:rPr>
          <w:rFonts w:hint="eastAsia" w:ascii="宋体" w:hAnsi="宋体" w:eastAsia="宋体" w:cs="宋体"/>
          <w:bCs/>
          <w:color w:val="000000" w:themeColor="text1"/>
          <w:sz w:val="24"/>
          <w:szCs w:val="24"/>
          <w:highlight w:val="none"/>
          <w14:textFill>
            <w14:solidFill>
              <w14:schemeClr w14:val="tx1"/>
            </w14:solidFill>
          </w14:textFill>
        </w:rPr>
        <w:t>。</w:t>
      </w:r>
    </w:p>
    <w:p w14:paraId="2297B917">
      <w:pPr>
        <w:spacing w:line="360" w:lineRule="auto"/>
        <w:ind w:firstLine="48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六、其他补充事宜</w:t>
      </w:r>
      <w:bookmarkEnd w:id="8"/>
      <w:bookmarkEnd w:id="9"/>
    </w:p>
    <w:p w14:paraId="357DAF89">
      <w:pPr>
        <w:spacing w:line="360" w:lineRule="auto"/>
        <w:ind w:firstLine="480"/>
        <w:jc w:val="left"/>
        <w:rPr>
          <w:rFonts w:ascii="宋体" w:hAnsi="宋体" w:eastAsia="宋体" w:cs="宋体"/>
          <w:b/>
          <w:color w:val="000000" w:themeColor="text1"/>
          <w:sz w:val="24"/>
          <w:szCs w:val="24"/>
          <w:highlight w:val="none"/>
          <w14:textFill>
            <w14:solidFill>
              <w14:schemeClr w14:val="tx1"/>
            </w14:solidFill>
          </w14:textFill>
        </w:rPr>
      </w:pPr>
      <w:bookmarkStart w:id="10" w:name="OLE_LINK43"/>
      <w:r>
        <w:rPr>
          <w:rFonts w:hint="eastAsia" w:ascii="宋体" w:hAnsi="宋体" w:eastAsia="宋体" w:cs="宋体"/>
          <w:color w:val="000000" w:themeColor="text1"/>
          <w:sz w:val="24"/>
          <w:szCs w:val="24"/>
          <w:highlight w:val="none"/>
          <w14:textFill>
            <w14:solidFill>
              <w14:schemeClr w14:val="tx1"/>
            </w14:solidFill>
          </w14:textFill>
        </w:rPr>
        <w:t>1. 根据苏财购〔2020〕52号规定，</w:t>
      </w:r>
      <w:r>
        <w:rPr>
          <w:rFonts w:hint="eastAsia" w:ascii="宋体" w:hAnsi="宋体" w:eastAsia="宋体" w:cs="宋体"/>
          <w:b/>
          <w:color w:val="000000" w:themeColor="text1"/>
          <w:sz w:val="24"/>
          <w:szCs w:val="24"/>
          <w:highlight w:val="none"/>
          <w14:textFill>
            <w14:solidFill>
              <w14:schemeClr w14:val="tx1"/>
            </w14:solidFill>
          </w14:textFill>
        </w:rPr>
        <w:t>本项目不收取投标保证金。</w:t>
      </w:r>
    </w:p>
    <w:p w14:paraId="539A2F37">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2.本磋商文件中标注★的款项为实质性响应要求和条件，如不满足将按无效响应文件处理。</w:t>
      </w:r>
    </w:p>
    <w:p w14:paraId="6FA5D179">
      <w:pPr>
        <w:spacing w:line="360" w:lineRule="auto"/>
        <w:ind w:firstLine="482"/>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bookmarkEnd w:id="10"/>
    </w:p>
    <w:p w14:paraId="0B2118DD">
      <w:pPr>
        <w:spacing w:line="360" w:lineRule="auto"/>
        <w:ind w:firstLine="482"/>
        <w:outlineLvl w:val="1"/>
        <w:rPr>
          <w:rFonts w:ascii="宋体" w:hAnsi="宋体" w:eastAsia="宋体" w:cs="宋体"/>
          <w:b/>
          <w:color w:val="000000" w:themeColor="text1"/>
          <w:sz w:val="24"/>
          <w:szCs w:val="24"/>
          <w:highlight w:val="none"/>
          <w14:textFill>
            <w14:solidFill>
              <w14:schemeClr w14:val="tx1"/>
            </w14:solidFill>
          </w14:textFill>
        </w:rPr>
      </w:pPr>
      <w:bookmarkStart w:id="11" w:name="_Toc28359018"/>
      <w:bookmarkStart w:id="12" w:name="_Toc28359095"/>
      <w:bookmarkStart w:id="13" w:name="_Toc35393805"/>
      <w:bookmarkStart w:id="14" w:name="_Toc35393636"/>
      <w:r>
        <w:rPr>
          <w:rFonts w:hint="eastAsia" w:ascii="宋体" w:hAnsi="宋体" w:eastAsia="宋体" w:cs="宋体"/>
          <w:b/>
          <w:color w:val="000000" w:themeColor="text1"/>
          <w:sz w:val="24"/>
          <w:szCs w:val="24"/>
          <w:highlight w:val="none"/>
          <w14:textFill>
            <w14:solidFill>
              <w14:schemeClr w14:val="tx1"/>
            </w14:solidFill>
          </w14:textFill>
        </w:rPr>
        <w:t>七、凡对本次采购提出询问，请按以下方式联系</w:t>
      </w:r>
      <w:bookmarkEnd w:id="11"/>
      <w:bookmarkEnd w:id="12"/>
      <w:bookmarkEnd w:id="13"/>
      <w:bookmarkEnd w:id="14"/>
    </w:p>
    <w:p w14:paraId="18AC7507">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1、采购人信息</w:t>
      </w:r>
    </w:p>
    <w:p w14:paraId="130CF1EE">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称：连云港市临洪水利工程管理处</w:t>
      </w:r>
    </w:p>
    <w:p w14:paraId="0A3AFA8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址：连云港市海州区北郊路65号</w:t>
      </w:r>
    </w:p>
    <w:p w14:paraId="6C481A8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联系方式：卢工 15905130626</w:t>
      </w:r>
    </w:p>
    <w:p w14:paraId="0AF535B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2、采购代理机构信息</w:t>
      </w:r>
    </w:p>
    <w:p w14:paraId="069CE73A">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bookmarkStart w:id="15" w:name="OLE_LINK60"/>
      <w:bookmarkStart w:id="16" w:name="OLE_LINK61"/>
      <w:r>
        <w:rPr>
          <w:rFonts w:hint="eastAsia" w:ascii="宋体" w:hAnsi="宋体" w:eastAsia="宋体" w:cs="宋体"/>
          <w:color w:val="000000" w:themeColor="text1"/>
          <w:sz w:val="24"/>
          <w:szCs w:val="24"/>
          <w:highlight w:val="none"/>
          <w14:textFill>
            <w14:solidFill>
              <w14:schemeClr w14:val="tx1"/>
            </w14:solidFill>
          </w14:textFill>
        </w:rPr>
        <w:t>江苏宝宏项目管理咨询有限公司</w:t>
      </w:r>
    </w:p>
    <w:p w14:paraId="6669C44E">
      <w:pPr>
        <w:spacing w:line="360" w:lineRule="auto"/>
        <w:ind w:firstLine="480"/>
        <w:rPr>
          <w:rFonts w:ascii="宋体" w:hAnsi="宋体" w:eastAsia="宋体" w:cs="宋体"/>
          <w:color w:val="000000" w:themeColor="text1"/>
          <w:sz w:val="24"/>
          <w:szCs w:val="24"/>
          <w:highlight w:val="none"/>
          <w:u w:val="singl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bookmarkEnd w:id="15"/>
      <w:bookmarkEnd w:id="16"/>
      <w:r>
        <w:rPr>
          <w:rFonts w:hint="eastAsia" w:ascii="宋体" w:hAnsi="宋体" w:eastAsia="宋体" w:cs="宋体"/>
          <w:color w:val="000000" w:themeColor="text1"/>
          <w:sz w:val="24"/>
          <w:szCs w:val="24"/>
          <w:highlight w:val="none"/>
          <w14:textFill>
            <w14:solidFill>
              <w14:schemeClr w14:val="tx1"/>
            </w14:solidFill>
          </w14:textFill>
        </w:rPr>
        <w:t>连云港市海州经济技术开发区润连制造中心</w:t>
      </w:r>
    </w:p>
    <w:p w14:paraId="6EA11C53">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联系方式：王工   18936672920</w:t>
      </w:r>
    </w:p>
    <w:p w14:paraId="7342BAD1">
      <w:pPr>
        <w:tabs>
          <w:tab w:val="left" w:pos="360"/>
        </w:tabs>
        <w:spacing w:line="360" w:lineRule="auto"/>
        <w:ind w:firstLine="482"/>
        <w:outlineLvl w:val="1"/>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八、其他</w:t>
      </w:r>
    </w:p>
    <w:p w14:paraId="605F8F5B">
      <w:pP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65AD2167">
      <w:pP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领取CA和办理电子签章（连云港地区办理地址：连云港市财政局(海州区海连中路66号)西门向南约20米办理，具体联系方式见《苏采云系统供应商操作手册》（以下简称《操作手册》）、供应商需按《操作手册》要求进行注册并按要求制作、上传电子投标文件。</w:t>
      </w:r>
    </w:p>
    <w:p w14:paraId="5F90CD3B">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本次采购要求</w:t>
      </w:r>
      <w:r>
        <w:rPr>
          <w:rFonts w:hint="eastAsia" w:ascii="宋体" w:hAnsi="宋体" w:eastAsia="宋体" w:cs="宋体"/>
          <w:bCs/>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网络上传响应文件,在磋商准备期内及时制作网上响应文件并于开标前完成网上响应文件上传。</w:t>
      </w:r>
      <w:r>
        <w:rPr>
          <w:rFonts w:hint="eastAsia" w:ascii="宋体" w:hAnsi="宋体" w:eastAsia="宋体" w:cs="宋体"/>
          <w:bCs/>
          <w:color w:val="000000" w:themeColor="text1"/>
          <w:sz w:val="24"/>
          <w:szCs w:val="24"/>
          <w:highlight w:val="none"/>
          <w14:textFill>
            <w14:solidFill>
              <w14:schemeClr w14:val="tx1"/>
            </w14:solidFill>
          </w14:textFill>
        </w:rPr>
        <w:t>各供应商须确保在采购文件规定的时间内完成响应文件上传及解密工作；</w:t>
      </w:r>
      <w:r>
        <w:rPr>
          <w:rFonts w:hint="eastAsia" w:ascii="宋体" w:hAnsi="宋体" w:eastAsia="宋体" w:cs="宋体"/>
          <w:color w:val="000000" w:themeColor="text1"/>
          <w:sz w:val="24"/>
          <w:szCs w:val="24"/>
          <w:highlight w:val="none"/>
          <w14:textFill>
            <w14:solidFill>
              <w14:schemeClr w14:val="tx1"/>
            </w14:solidFill>
          </w14:textFill>
        </w:rPr>
        <w:t>成交单位在领取成交通知书时需提供 4份完整纸质响应文件（含综合单价分析表），其中正本一份副本三份。纸质与电子标书内容不一致的，以电子标书为准。</w:t>
      </w:r>
    </w:p>
    <w:p w14:paraId="13327E3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bookmarkStart w:id="17" w:name="OLE_LINK45"/>
      <w:bookmarkStart w:id="18" w:name="OLE_LINK44"/>
      <w:r>
        <w:rPr>
          <w:rFonts w:hint="eastAsia" w:ascii="宋体" w:hAnsi="宋体" w:eastAsia="宋体" w:cs="宋体"/>
          <w:color w:val="000000" w:themeColor="text1"/>
          <w:sz w:val="24"/>
          <w:szCs w:val="24"/>
          <w:highlight w:val="none"/>
          <w14:textFill>
            <w14:solidFill>
              <w14:schemeClr w14:val="tx1"/>
            </w14:solidFill>
          </w14:textFill>
        </w:rPr>
        <w:t>3.开评标环节供应商参与交互的人员将一直被视为是供应商的</w:t>
      </w:r>
      <w:r>
        <w:rPr>
          <w:rFonts w:hint="eastAsia" w:ascii="宋体" w:hAnsi="宋体" w:eastAsia="宋体" w:cs="宋体"/>
          <w:b/>
          <w:color w:val="000000" w:themeColor="text1"/>
          <w:sz w:val="24"/>
          <w:szCs w:val="24"/>
          <w:highlight w:val="none"/>
          <w14:textFill>
            <w14:solidFill>
              <w14:schemeClr w14:val="tx1"/>
            </w14:solidFill>
          </w14:textFill>
        </w:rPr>
        <w:t>授权委托人（项目负责人）</w:t>
      </w:r>
      <w:r>
        <w:rPr>
          <w:rFonts w:hint="eastAsia" w:ascii="宋体" w:hAnsi="宋体" w:eastAsia="宋体" w:cs="宋体"/>
          <w:color w:val="000000" w:themeColor="text1"/>
          <w:sz w:val="24"/>
          <w:szCs w:val="24"/>
          <w:highlight w:val="none"/>
          <w14:textFill>
            <w14:solidFill>
              <w14:schemeClr w14:val="tx1"/>
            </w14:solidFill>
          </w14:textFill>
        </w:rPr>
        <w:t>，供应商自行承担弄虚作假、随意更换人员所导致的一切后果。</w:t>
      </w:r>
    </w:p>
    <w:p w14:paraId="158009E4">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供应商在开、评标全过程中应保持通讯畅通，及时登录苏采云系统查阅、答复相关信息。</w:t>
      </w:r>
    </w:p>
    <w:p w14:paraId="1A464D7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供应商在制作响应文件时如遇投标工具中投标格式与采购文件中不一致，请供应商按照采购文件中响应文件的格式要求编制，添加在投标工具的【投标其他材料】中作为评审依据。如因供应商未按要求执行造成的一切后果（包括废标）均由供应商自行承担。</w:t>
      </w:r>
      <w:bookmarkEnd w:id="17"/>
      <w:bookmarkEnd w:id="18"/>
    </w:p>
    <w:p w14:paraId="1CBCB12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p>
    <w:bookmarkEnd w:id="2"/>
    <w:p w14:paraId="10077373">
      <w:pPr>
        <w:spacing w:line="360" w:lineRule="auto"/>
        <w:rPr>
          <w:rFonts w:ascii="宋体" w:hAnsi="宋体" w:eastAsia="宋体" w:cs="宋体"/>
          <w:color w:val="000000" w:themeColor="text1"/>
          <w:szCs w:val="24"/>
          <w:highlight w:val="none"/>
          <w14:textFill>
            <w14:solidFill>
              <w14:schemeClr w14:val="tx1"/>
            </w14:solidFill>
          </w14:textFill>
        </w:rPr>
      </w:pPr>
    </w:p>
    <w:p w14:paraId="086F126A">
      <w:pPr>
        <w:spacing w:line="360" w:lineRule="exact"/>
        <w:rPr>
          <w:rFonts w:ascii="宋体" w:hAnsi="宋体" w:eastAsia="宋体" w:cs="宋体"/>
          <w:color w:val="000000" w:themeColor="text1"/>
          <w:szCs w:val="24"/>
          <w:highlight w:val="none"/>
          <w14:textFill>
            <w14:solidFill>
              <w14:schemeClr w14:val="tx1"/>
            </w14:solidFill>
          </w14:textFill>
        </w:rPr>
      </w:pPr>
      <w:bookmarkStart w:id="19" w:name="_Toc389065128"/>
    </w:p>
    <w:bookmarkEnd w:id="3"/>
    <w:bookmarkEnd w:id="19"/>
    <w:p w14:paraId="70ECBA99">
      <w:pPr>
        <w:spacing w:line="360" w:lineRule="exact"/>
        <w:rPr>
          <w:rFonts w:ascii="宋体" w:hAnsi="宋体" w:eastAsia="宋体" w:cs="宋体"/>
          <w:color w:val="000000" w:themeColor="text1"/>
          <w:szCs w:val="21"/>
          <w:highlight w:val="none"/>
          <w14:textFill>
            <w14:solidFill>
              <w14:schemeClr w14:val="tx1"/>
            </w14:solidFill>
          </w14:textFill>
        </w:rPr>
      </w:pPr>
    </w:p>
    <w:p w14:paraId="10BE41AA">
      <w:pPr>
        <w:pStyle w:val="239"/>
        <w:rPr>
          <w:color w:val="000000" w:themeColor="text1"/>
          <w:highlight w:val="none"/>
          <w14:textFill>
            <w14:solidFill>
              <w14:schemeClr w14:val="tx1"/>
            </w14:solidFill>
          </w14:textFill>
        </w:rPr>
      </w:pPr>
      <w:bookmarkStart w:id="20" w:name="_Toc14577347"/>
      <w:bookmarkStart w:id="21" w:name="_Toc61149549"/>
      <w:bookmarkStart w:id="22" w:name="_Toc513029209"/>
      <w:bookmarkStart w:id="23" w:name="_Toc10033"/>
    </w:p>
    <w:p w14:paraId="3FEB9C51">
      <w:pP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r>
    </w:p>
    <w:p w14:paraId="579EEF5E">
      <w:pPr>
        <w:spacing w:line="416" w:lineRule="auto"/>
        <w:jc w:val="center"/>
        <w:outlineLvl w:val="0"/>
        <w:rPr>
          <w:rFonts w:ascii="黑体" w:hAnsi="Calibri" w:eastAsia="黑体" w:cs="Arial"/>
          <w:bCs/>
          <w:color w:val="000000" w:themeColor="text1"/>
          <w:sz w:val="28"/>
          <w:szCs w:val="4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第二章  磋商须知</w:t>
      </w:r>
      <w:bookmarkEnd w:id="20"/>
      <w:bookmarkEnd w:id="21"/>
      <w:bookmarkEnd w:id="22"/>
      <w:bookmarkEnd w:id="23"/>
    </w:p>
    <w:p w14:paraId="2F4FA456">
      <w:pPr>
        <w:pBdr>
          <w:top w:val="none" w:color="000000" w:sz="0" w:space="0"/>
          <w:left w:val="none" w:color="000000" w:sz="0" w:space="0"/>
          <w:bottom w:val="none" w:color="000000" w:sz="0" w:space="0"/>
          <w:right w:val="none" w:color="000000" w:sz="0" w:space="0"/>
        </w:pBdr>
        <w:spacing w:line="400" w:lineRule="atLeast"/>
        <w:ind w:firstLine="482"/>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一、总则</w:t>
      </w:r>
    </w:p>
    <w:p w14:paraId="38A7F4C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1.适用范围</w:t>
      </w:r>
    </w:p>
    <w:p w14:paraId="247B510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本竞争性磋商文件(以下简称磋商文件)仅适用此项目。</w:t>
      </w:r>
    </w:p>
    <w:p w14:paraId="5D2DE9E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2.项目采购方式</w:t>
      </w:r>
    </w:p>
    <w:p w14:paraId="16D036A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本次采购采取竞争性磋商的方式。</w:t>
      </w:r>
    </w:p>
    <w:p w14:paraId="213C037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3.合格的磋商供应商</w:t>
      </w:r>
    </w:p>
    <w:p w14:paraId="3EF6C917">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3.1 满足本磋商文件“竞争性磋商采购邀请”中合格磋商供应商资格要求的规定。</w:t>
      </w:r>
    </w:p>
    <w:p w14:paraId="0B33627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满足本磋商文件实质性要求和条件的规定。</w:t>
      </w:r>
    </w:p>
    <w:p w14:paraId="39E1483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4.参加磋商费用</w:t>
      </w:r>
    </w:p>
    <w:p w14:paraId="39ED67E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参加磋商供应商应自行承担所有与参加磋商有关的费用。不论最终的成交结果如何，江苏宝宏项目管理咨询有限公司(以下简称采购代理机构)在任何情况下均无义务和责任承担这些费用。</w:t>
      </w:r>
    </w:p>
    <w:p w14:paraId="133FA36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此次磋商代理机构和采购人不收取磋商文件工本费。 </w:t>
      </w:r>
    </w:p>
    <w:p w14:paraId="6AD7F3C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 </w:t>
      </w:r>
      <w:r>
        <w:rPr>
          <w:rFonts w:hint="eastAsia" w:ascii="宋体" w:hAnsi="宋体" w:eastAsia="宋体" w:cs="宋体"/>
          <w:b/>
          <w:bCs/>
          <w:color w:val="000000" w:themeColor="text1"/>
          <w:sz w:val="24"/>
          <w:szCs w:val="24"/>
          <w:highlight w:val="none"/>
          <w14:textFill>
            <w14:solidFill>
              <w14:schemeClr w14:val="tx1"/>
            </w14:solidFill>
          </w14:textFill>
        </w:rPr>
        <w:t>招标代理服务费按按苏招协【2022】002号文收费标准计取，清单编制费按照苏价服（2014）383号文收费标准计取，中标人在领取中标通知书前向代理机构缴纳招标代理费用。</w:t>
      </w:r>
    </w:p>
    <w:p w14:paraId="5CB89368">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注：上述费用成交供应商领取成交通知书时须缴纳，供应商将此费用等综合考虑在报价中，采购人不再另行支付。</w:t>
      </w:r>
    </w:p>
    <w:p w14:paraId="6360837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5.磋商文件的约束力</w:t>
      </w:r>
    </w:p>
    <w:p w14:paraId="540F55D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供应商一旦获取了本磋商文件并决定参加磋商，即被认为接受了本磋商文件的规定和约束，并且视为已经知道或应当知道自身权益是否受到了损害。</w:t>
      </w:r>
    </w:p>
    <w:p w14:paraId="60609D5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6.磋商文件的询问及修改</w:t>
      </w:r>
    </w:p>
    <w:p w14:paraId="0595CDD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52C503F5">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6.2 采购代理机构或采购人可以视采购项目的具体情况，组织供应商进行现场考察或召开磋商前答疑会，但不单独或分别组织只有一个供应商参加的现场考察和答疑会。</w:t>
      </w:r>
    </w:p>
    <w:p w14:paraId="1525F4B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7．磋商文件的解释</w:t>
      </w:r>
    </w:p>
    <w:p w14:paraId="634635A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7.1本磋商文件由</w:t>
      </w:r>
      <w:r>
        <w:rPr>
          <w:rFonts w:hint="eastAsia" w:ascii="宋体" w:hAnsi="宋体" w:eastAsia="宋体" w:cs="宋体"/>
          <w:b/>
          <w:color w:val="000000" w:themeColor="text1"/>
          <w:sz w:val="24"/>
          <w:szCs w:val="24"/>
          <w:highlight w:val="none"/>
          <w14:textFill>
            <w14:solidFill>
              <w14:schemeClr w14:val="tx1"/>
            </w14:solidFill>
          </w14:textFill>
        </w:rPr>
        <w:t>江苏宝宏项目管理咨询有限公司</w:t>
      </w:r>
      <w:r>
        <w:rPr>
          <w:rFonts w:hint="eastAsia" w:ascii="宋体" w:hAnsi="宋体" w:eastAsia="宋体" w:cs="宋体"/>
          <w:color w:val="000000" w:themeColor="text1"/>
          <w:sz w:val="24"/>
          <w:szCs w:val="24"/>
          <w:highlight w:val="none"/>
          <w14:textFill>
            <w14:solidFill>
              <w14:schemeClr w14:val="tx1"/>
            </w14:solidFill>
          </w14:textFill>
        </w:rPr>
        <w:t>负责解释。</w:t>
      </w:r>
    </w:p>
    <w:p w14:paraId="628FB1BE">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b/>
          <w:color w:val="000000" w:themeColor="text1"/>
          <w:sz w:val="24"/>
          <w:szCs w:val="24"/>
          <w:highlight w:val="none"/>
          <w14:textFill>
            <w14:solidFill>
              <w14:schemeClr w14:val="tx1"/>
            </w14:solidFill>
          </w14:textFill>
        </w:rPr>
      </w:pPr>
    </w:p>
    <w:p w14:paraId="05446F95">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二、磋商文件</w:t>
      </w:r>
    </w:p>
    <w:p w14:paraId="0B0AE89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1.磋商文件构成</w:t>
      </w:r>
    </w:p>
    <w:p w14:paraId="24C42B2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磋商文件由以下部分组成：</w:t>
      </w:r>
    </w:p>
    <w:p w14:paraId="3C567EF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（1）竞争性磋商公告</w:t>
      </w:r>
    </w:p>
    <w:p w14:paraId="0A93468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（2）磋商须知</w:t>
      </w:r>
    </w:p>
    <w:p w14:paraId="59DA208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（3）项目需求（工程量清单）</w:t>
      </w:r>
    </w:p>
    <w:p w14:paraId="293F776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（4）评审方法和评审标准</w:t>
      </w:r>
    </w:p>
    <w:p w14:paraId="2BDF1E2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（5）响应文件组成</w:t>
      </w:r>
    </w:p>
    <w:p w14:paraId="1017ABA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（6）附件</w:t>
      </w:r>
    </w:p>
    <w:p w14:paraId="79FE257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请仔细检查磋商文件是否齐全，如有缺漏请立即与采购人或采购代理机构联系解决。</w:t>
      </w:r>
    </w:p>
    <w:p w14:paraId="1451BE1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90E7B7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2.磋商文件的澄清</w:t>
      </w:r>
    </w:p>
    <w:p w14:paraId="19D6909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0070CBE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2.2采购人视情况组织答疑会</w:t>
      </w:r>
    </w:p>
    <w:p w14:paraId="5089762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3.磋商文件的修改</w:t>
      </w:r>
    </w:p>
    <w:p w14:paraId="64431769">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3.1 在响应文件提交截止时间前，采购人或采购代理机构可以对磋商文件进行修改。</w:t>
      </w:r>
    </w:p>
    <w:p w14:paraId="7E9F8FF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采购人或采购代理机构有权按照法定的要求推迟响应文件提交截止日期和磋商日期。</w:t>
      </w:r>
    </w:p>
    <w:p w14:paraId="2EF6786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磋商文件的修改将在</w:t>
      </w:r>
      <w:r>
        <w:rPr>
          <w:rFonts w:hint="eastAsia" w:ascii="宋体" w:hAnsi="宋体" w:eastAsia="宋体" w:cs="宋体"/>
          <w:b/>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14:textFill>
            <w14:solidFill>
              <w14:schemeClr w14:val="tx1"/>
            </w14:solidFill>
          </w14:textFill>
        </w:rPr>
        <w:t>公布，补充文件将作为磋商文件的组成部分，并对供应商具有约束力。</w:t>
      </w:r>
    </w:p>
    <w:p w14:paraId="2270B5A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FC8358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5.供应商对采购人提供的采购文件所做出的推论、解释和结论，采购人概不负责。供应商由于对采购文件的任何推论和误解以及采购人对有关问题的口头解释所造成的后果，均由各潜在供应商自负。</w:t>
      </w:r>
    </w:p>
    <w:p w14:paraId="3A64B553">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三、响应文件的编制</w:t>
      </w:r>
    </w:p>
    <w:p w14:paraId="0590FB5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1.响应文件的语言及度量衡单位</w:t>
      </w:r>
    </w:p>
    <w:p w14:paraId="1865DF2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1.1供应商提交的响应文件以及供应商与采购人或采购代理机构就有关磋商的所有来往通知、函件和文件均应使用简体中文。</w:t>
      </w:r>
    </w:p>
    <w:p w14:paraId="43D3CEB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除技术性能另有规定外，响应文件所使用的度量衡单位，均须采用国家法定计量单位。</w:t>
      </w:r>
    </w:p>
    <w:p w14:paraId="64D8F8C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2.响应文件构成</w:t>
      </w:r>
    </w:p>
    <w:p w14:paraId="6472357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2.1供应商编写的响应文件应包括</w:t>
      </w:r>
      <w:r>
        <w:rPr>
          <w:rFonts w:hint="eastAsia" w:ascii="宋体" w:hAnsi="宋体" w:eastAsia="宋体" w:cs="宋体"/>
          <w:b/>
          <w:color w:val="000000" w:themeColor="text1"/>
          <w:sz w:val="24"/>
          <w:szCs w:val="24"/>
          <w:highlight w:val="none"/>
          <w14:textFill>
            <w14:solidFill>
              <w14:schemeClr w14:val="tx1"/>
            </w14:solidFill>
          </w14:textFill>
        </w:rPr>
        <w:t>资格审查证明材料文件、商务技术标文件、价格标文件</w:t>
      </w:r>
      <w:r>
        <w:rPr>
          <w:rFonts w:hint="eastAsia" w:ascii="宋体" w:hAnsi="宋体" w:eastAsia="宋体" w:cs="宋体"/>
          <w:color w:val="000000" w:themeColor="text1"/>
          <w:sz w:val="24"/>
          <w:szCs w:val="24"/>
          <w:highlight w:val="none"/>
          <w14:textFill>
            <w14:solidFill>
              <w14:schemeClr w14:val="tx1"/>
            </w14:solidFill>
          </w14:textFill>
        </w:rPr>
        <w:t>。供应商按“第五部分 响应文件组成”要求编写响应文件。</w:t>
      </w:r>
    </w:p>
    <w:p w14:paraId="5709D79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3.磋商响应有效期</w:t>
      </w:r>
    </w:p>
    <w:p w14:paraId="5ACF9A1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3.1磋商响应有效期为采购文件规定的响应文件提交截止时间后</w:t>
      </w:r>
      <w:r>
        <w:rPr>
          <w:rFonts w:hint="eastAsia" w:ascii="宋体" w:hAnsi="宋体" w:eastAsia="宋体" w:cs="宋体"/>
          <w:b/>
          <w:color w:val="000000" w:themeColor="text1"/>
          <w:sz w:val="24"/>
          <w:szCs w:val="24"/>
          <w:highlight w:val="none"/>
          <w:u w:val="single"/>
          <w14:textFill>
            <w14:solidFill>
              <w14:schemeClr w14:val="tx1"/>
            </w14:solidFill>
          </w14:textFill>
        </w:rPr>
        <w:t>六十（60）天</w:t>
      </w:r>
      <w:r>
        <w:rPr>
          <w:rFonts w:hint="eastAsia" w:ascii="宋体" w:hAnsi="宋体" w:eastAsia="宋体" w:cs="宋体"/>
          <w:color w:val="000000" w:themeColor="text1"/>
          <w:sz w:val="24"/>
          <w:szCs w:val="24"/>
          <w:highlight w:val="none"/>
          <w14:textFill>
            <w14:solidFill>
              <w14:schemeClr w14:val="tx1"/>
            </w14:solidFill>
          </w14:textFill>
        </w:rPr>
        <w:t>。磋商响应有效期比规定短的将被视为非实质性响应而予以拒绝。</w:t>
      </w:r>
    </w:p>
    <w:p w14:paraId="28B2E37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磋商响应有效期的延长</w:t>
      </w:r>
    </w:p>
    <w:p w14:paraId="5E591B5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729295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5.电子响应文件其他要求</w:t>
      </w:r>
    </w:p>
    <w:p w14:paraId="12EAF21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5.1电子招标投标交易平台（即“苏采云”系统）相关要求是本采购文件的组成部分。</w:t>
      </w:r>
    </w:p>
    <w:p w14:paraId="3033375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5.2供应商应对CA证书妥善保管，如被他人盗用投标，因此带来的后果均由供应商自行承担。</w:t>
      </w:r>
    </w:p>
    <w:p w14:paraId="3041C08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5.3供应商应当对采购文件提出的实质性要求和条件作出实质性响应，并在电子投标系统逐条应答。</w:t>
      </w:r>
    </w:p>
    <w:p w14:paraId="5CECB2C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5.4供应商应对要求提供的资格证明文件（如资质证书、资格证书）、技术资料（如白皮书、彩页、手册、检测报告等）扫描上传至投标系统。 </w:t>
      </w:r>
    </w:p>
    <w:p w14:paraId="115C6B6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6.供应商应当在采购文件要求提交响应文件的截止时间前，将响应文件提交至“苏采云”系统，逾期提交的响应文件，“苏采云”系统将自动拒收。各供应商应在规定时间内凭CA证书进行网上解密。</w:t>
      </w:r>
    </w:p>
    <w:p w14:paraId="0641542B">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四、磋商报价</w:t>
      </w:r>
    </w:p>
    <w:p w14:paraId="5B2A88F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磋商报价 </w:t>
      </w:r>
    </w:p>
    <w:p w14:paraId="78A6F15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磋商报价应包括招标文件所确定的招标范围内相应图纸(如有)、规范、技术要求、工程量清单等有关文件而进行的各项工程的施工、竣工验收合格及保修工作，以及为完成上述内容所需要进行的图纸深化设计(如有)及因深化设计产生的增加工程量而所需的全部费用，包括但不限于：人工、材料、设备、机械、施工水电费、抢工费、施工措施、水平运输、垂直运输、拆除物外运，虽然在技术要求/工程量清单/单价说明中没有提及但按常规或规范/标准等应实施的做法所产生的费用、二次搬运、临时设施、成品保护、缺陷修复、材料试验检验费、竣工资料整理汇总、验收前成品保护、保修、现场人员培训、维修保养、管理、规费、税金、利润、深化设计、风险费用等一切费用。</w:t>
      </w:r>
    </w:p>
    <w:p w14:paraId="4606CBE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磋商报价方式</w:t>
      </w:r>
    </w:p>
    <w:p w14:paraId="79BAA24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6C467D1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固定全费用单价报价：磋商供应商应充分考虑施工期间各类设备材料的市场风险和政策性调整确定风险系数计入总报价，今后不作调整。设计变更和采购人要求变动的内容除外。结算方式在合同专用条款中明确。 </w:t>
      </w:r>
    </w:p>
    <w:p w14:paraId="25606F4C">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本次采购采用竞争性磋商，因第二轮报价只报总价，结算时，以成交人提交的综合单价同比下浮【下浮率=（1-第二轮报价/第一轮报价）*100% 】。</w:t>
      </w:r>
    </w:p>
    <w:p w14:paraId="3CFACB0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6939B3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磋商报价的计价方法 </w:t>
      </w:r>
    </w:p>
    <w:p w14:paraId="6C08DD7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(1)磋商供应商应根据采购人提供的全费用工程量清单计算单价、合价以及各种政策性费用。 </w:t>
      </w:r>
    </w:p>
    <w:p w14:paraId="6C4F065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392CA15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(3)施工用水电差价进报价，采购人不再另行支付。 </w:t>
      </w:r>
    </w:p>
    <w:p w14:paraId="4330F85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(4)本项目采用营改增后的一般计税方法计算报价。 </w:t>
      </w:r>
    </w:p>
    <w:p w14:paraId="7003634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可选用的工程预算、费用定额和政策性文件 </w:t>
      </w:r>
    </w:p>
    <w:p w14:paraId="7B8063C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(1)《建设工程工程量清单计价规范》GB50500-2013。</w:t>
      </w:r>
    </w:p>
    <w:p w14:paraId="1CF2361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(2)国家或省级、行业建设主管部门颁发的计价办法；</w:t>
      </w:r>
    </w:p>
    <w:p w14:paraId="3A1581E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(3)企业定额，国家或省级、行业建设主管部门颁发的计价定额和计价办法；</w:t>
      </w:r>
    </w:p>
    <w:p w14:paraId="1826914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(4)招标文件、招标工程量清单及其补充通知、答疑纪要；</w:t>
      </w:r>
    </w:p>
    <w:p w14:paraId="08A1AB0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(5)建设工程设计文件及相关资料；</w:t>
      </w:r>
    </w:p>
    <w:p w14:paraId="43C8749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(6)施工现场情况、工程特点；</w:t>
      </w:r>
    </w:p>
    <w:p w14:paraId="73DECB2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(7)与建设项目相关的标准、规范等技术资料；</w:t>
      </w:r>
    </w:p>
    <w:p w14:paraId="5FB1E4A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(8)市场价格信息或工程造价管理机构发布的工程造价信息；</w:t>
      </w:r>
    </w:p>
    <w:p w14:paraId="33E2C66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(9)全面考虑施工期间的人工、机械、设备、材料等的市场价格波动的情况、施工现场条件等因素，结合自身管理及自身所能承受价格风险的情况自主报价；</w:t>
      </w:r>
    </w:p>
    <w:p w14:paraId="04F457E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(10)其他的相关资料。 </w:t>
      </w:r>
    </w:p>
    <w:p w14:paraId="1E3E455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报价货币 </w:t>
      </w:r>
    </w:p>
    <w:p w14:paraId="6E37355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磋商应以人民币报价。 </w:t>
      </w:r>
    </w:p>
    <w:p w14:paraId="44EFE56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磋商报价的编制要求。</w:t>
      </w:r>
    </w:p>
    <w:p w14:paraId="1B8F8A5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磋商供应商必须按工程量清单,用综合单价法编制磋商预算。工程量清单数量、暂定价、暂估价、独立费不得变更、不得优惠,否则视为重大偏差。 </w:t>
      </w:r>
    </w:p>
    <w:p w14:paraId="4B96FA1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本工程由磋商供应商自购的材料 , 磋商供应商须编制自购主要材料一览表 ,注明品牌、规格、型号、产地、数量、单价和合价。报价中含材料价差 ,结算时不予调整。 </w:t>
      </w:r>
    </w:p>
    <w:p w14:paraId="42F0157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 工程中产生的垃圾均需由成交供应商自行负责清运，费用由成交供应商承担。 </w:t>
      </w:r>
    </w:p>
    <w:p w14:paraId="67E57B9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 磋商供应商可自行对施工现场和周围环境进行勘察，以充分了解工地位置、环境、道路、储存空间、装卸限制及任何其他足以影响报价之情况，任何因忽视或误解工地情况而导致的成本增加或工期延长等情况一律不予认可。 </w:t>
      </w:r>
    </w:p>
    <w:p w14:paraId="3575562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采购人向磋商供应商提供的有关施工现场的资料和数据是采购人现有的能使磋商供应商利用的资料。采购人对磋商供应商由此做出的推论、理解和结论概不负责。</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p>
    <w:p w14:paraId="2ED0F0B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 因有工程变更造成的工程量清单增减，按业主签证的设计变更通知单和现场 签证，竣工结算时进行调整。工程变更调整的原则为:(1) 报价中原有的子项，按磋商报价的单价计算；(2) 新增加的近似子项参照相近的子项单价计算 ；(3)无相同或近似的子项，由乙方报价并经业主审核确定。 </w:t>
      </w:r>
    </w:p>
    <w:p w14:paraId="0D2E4D4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磋商供应商应当在响应文件中详细、定量地列出优惠让利的理由及所采取的技术措施。</w:t>
      </w:r>
    </w:p>
    <w:p w14:paraId="76E614F3">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五、响应文件的提交</w:t>
      </w:r>
    </w:p>
    <w:p w14:paraId="6E2B934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1.响应文件的提交</w:t>
      </w:r>
    </w:p>
    <w:p w14:paraId="5645DF0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线上提交与接收地点：供应商应当通过“苏采云”系统提交数据电文形式的响应文件（即电子投标），“苏采云”系统自动接收。</w:t>
      </w:r>
    </w:p>
    <w:p w14:paraId="3199E265">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723C17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2.响应文件截止日期</w:t>
      </w:r>
    </w:p>
    <w:p w14:paraId="5481C87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 供应商上传电子响应文件的时间不得迟于磋商公告中规定的响应文件提交截止时间。</w:t>
      </w:r>
    </w:p>
    <w:p w14:paraId="636ACCD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164C929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采购代理机构可以按照规定，通过修改响应文件酌情延长响应文件提交截止日期，在此情况下，供应商的所有权利和义务以及供应商受制的截止日期均应以延长后新的截止日期为准。</w:t>
      </w:r>
    </w:p>
    <w:p w14:paraId="7CE39C2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3.响应文件的密封（加密）要求：</w:t>
      </w:r>
    </w:p>
    <w:p w14:paraId="4F69B15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供应商应当按照采购文件和“苏采云”系统的要求编制并加密响应文件。本项目供应商须通过“苏采云”系统提供的政府采购客户端工具（使用“CA数字证书”）对其数据电文形式的响应文件加密。</w:t>
      </w:r>
    </w:p>
    <w:p w14:paraId="5D9A10B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供应商须通过“苏采云”系统提供的政府采购客户端工具（使用“CA数字证书”）加盖电子签章。</w:t>
      </w:r>
    </w:p>
    <w:p w14:paraId="1B68C52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说明：供应商应在用CA数字证书以及自备的能够登录“苏采云”系统的笔记本电脑，在达到开标时间后，使用CA数字证书解密各自响应文件。</w:t>
      </w:r>
    </w:p>
    <w:p w14:paraId="4D48368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供应商未按规定加密的响应文件，“苏采云”系统应当拒收并提示。</w:t>
      </w:r>
    </w:p>
    <w:p w14:paraId="1E1F75F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4.响应文件的拒收</w:t>
      </w:r>
    </w:p>
    <w:p w14:paraId="1AD38E2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采购代理机构拒绝接收在其规定的响应文件提交截止时间后上传的任何响应文件。</w:t>
      </w:r>
    </w:p>
    <w:p w14:paraId="12D97BB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 响应文件的撤回和修改</w:t>
      </w:r>
    </w:p>
    <w:p w14:paraId="753ECB4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响应文件的撤回</w:t>
      </w:r>
    </w:p>
    <w:p w14:paraId="0C83927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 电子响应文件的撤回</w:t>
      </w:r>
    </w:p>
    <w:p w14:paraId="6353326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供应商可在响应文件提交截止时间前，撤回其电子响应文件，具体操作方法见</w:t>
      </w:r>
      <w:r>
        <w:rPr>
          <w:rFonts w:hint="eastAsia" w:ascii="宋体" w:hAnsi="宋体" w:eastAsia="宋体" w:cs="宋体"/>
          <w:b/>
          <w:color w:val="000000" w:themeColor="text1"/>
          <w:sz w:val="24"/>
          <w:szCs w:val="24"/>
          <w:highlight w:val="none"/>
          <w14:textFill>
            <w14:solidFill>
              <w14:schemeClr w14:val="tx1"/>
            </w14:solidFill>
          </w14:textFill>
        </w:rPr>
        <w:t>《江苏省政府采购（供应商）国信CA数字证书及电子签章办理指南》。</w:t>
      </w:r>
    </w:p>
    <w:p w14:paraId="4CADAA0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5.1.2 供应商撤回电子响应文件，则认为其不再参与本项目磋商活动。</w:t>
      </w:r>
    </w:p>
    <w:p w14:paraId="75F08F7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 响应文件的修改</w:t>
      </w:r>
    </w:p>
    <w:p w14:paraId="19091D5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供应商可在响应文件提交截止时间前，对其电子响应文件进行修改。</w:t>
      </w:r>
    </w:p>
    <w:p w14:paraId="0848F1C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在响应文件提交截止时间之后，供应商不得对其电子响应文件作任何修改。</w:t>
      </w:r>
    </w:p>
    <w:p w14:paraId="41F9AF7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5.4 在响应文件截止时间至响应文件中规定的磋商响应有效期满之间的这段时间内，供应商不得撤回其响应文件。</w:t>
      </w:r>
    </w:p>
    <w:p w14:paraId="00FA4DCA">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六、磋商与评审</w:t>
      </w:r>
    </w:p>
    <w:p w14:paraId="19222AC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1.磋商仪式</w:t>
      </w:r>
    </w:p>
    <w:p w14:paraId="268B880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1.1采购人或采购代理机构将在磋商公告中规定的时间和地点组织磋商开始仪式。</w:t>
      </w:r>
    </w:p>
    <w:p w14:paraId="71ED5FEC">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themeColor="text1"/>
          <w:sz w:val="24"/>
          <w:szCs w:val="24"/>
          <w:highlight w:val="none"/>
          <w:u w:val="single"/>
          <w14:textFill>
            <w14:solidFill>
              <w14:schemeClr w14:val="tx1"/>
            </w14:solidFill>
          </w14:textFill>
        </w:rPr>
        <w:t>30分钟</w:t>
      </w:r>
      <w:r>
        <w:rPr>
          <w:rFonts w:hint="eastAsia" w:ascii="宋体" w:hAnsi="宋体" w:eastAsia="宋体" w:cs="宋体"/>
          <w:b/>
          <w:color w:val="000000" w:themeColor="text1"/>
          <w:sz w:val="24"/>
          <w:szCs w:val="24"/>
          <w:highlight w:val="none"/>
          <w14:textFill>
            <w14:solidFill>
              <w14:schemeClr w14:val="tx1"/>
            </w14:solidFill>
          </w14:textFill>
        </w:rPr>
        <w:t>之内完成。</w:t>
      </w:r>
      <w:r>
        <w:rPr>
          <w:rFonts w:hint="eastAsia" w:ascii="宋体" w:hAnsi="宋体" w:eastAsia="宋体" w:cs="宋体"/>
          <w:b/>
          <w:color w:val="000000" w:themeColor="text1"/>
          <w:sz w:val="24"/>
          <w:szCs w:val="24"/>
          <w:highlight w:val="none"/>
          <w:u w:val="single"/>
          <w14:textFill>
            <w14:solidFill>
              <w14:schemeClr w14:val="tx1"/>
            </w14:solidFill>
          </w14:textFill>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themeColor="text1"/>
          <w:sz w:val="24"/>
          <w:szCs w:val="24"/>
          <w:highlight w:val="none"/>
          <w14:textFill>
            <w14:solidFill>
              <w14:schemeClr w14:val="tx1"/>
            </w14:solidFill>
          </w14:textFill>
        </w:rPr>
        <w:t>因采购人原因或网上招投标平台发生故障，导致无法按时完成响应文件解密或开、评标工作无法进行的，可根据实际情况相应延迟解密时间或调整开、评标时间。</w:t>
      </w:r>
    </w:p>
    <w:p w14:paraId="0CB1884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磋商活动的文件解密工作由采购代理机构组织。</w:t>
      </w:r>
    </w:p>
    <w:p w14:paraId="6BCCD31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资格评审结束后，供应商就所有内容进行最后报价，少报无效。</w:t>
      </w:r>
    </w:p>
    <w:p w14:paraId="55C8C08B">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themeColor="text1"/>
          <w:sz w:val="24"/>
          <w:szCs w:val="24"/>
          <w:highlight w:val="none"/>
          <w:u w:val="single"/>
          <w14:textFill>
            <w14:solidFill>
              <w14:schemeClr w14:val="tx1"/>
            </w14:solidFill>
          </w14:textFill>
        </w:rPr>
        <w:t>20分钟</w:t>
      </w:r>
      <w:r>
        <w:rPr>
          <w:rFonts w:hint="eastAsia" w:ascii="宋体" w:hAnsi="宋体" w:eastAsia="宋体" w:cs="宋体"/>
          <w:b/>
          <w:color w:val="000000" w:themeColor="text1"/>
          <w:sz w:val="24"/>
          <w:szCs w:val="24"/>
          <w:highlight w:val="none"/>
          <w14:textFill>
            <w14:solidFill>
              <w14:schemeClr w14:val="tx1"/>
            </w14:solidFill>
          </w14:textFill>
        </w:rPr>
        <w:t>内填写并提交最后报价，未在规定时间内提交最后报价的，视作无效响应处理。</w:t>
      </w:r>
    </w:p>
    <w:p w14:paraId="15AFCE7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2.磋商小组</w:t>
      </w:r>
    </w:p>
    <w:p w14:paraId="5393D576">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2.1磋商开始仪式结束后，采购人或采购代理机构将立即组织磋商小组进行评审。</w:t>
      </w:r>
    </w:p>
    <w:p w14:paraId="38CF3F7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3656570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2.3超过公开招标限额标准的项目，磋商小组应当由5人以上单数组成。</w:t>
      </w:r>
    </w:p>
    <w:p w14:paraId="2A1A50E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267E85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2.5磋商小组独立工作，负责评审所有响应文件并确定成交候选人。</w:t>
      </w:r>
    </w:p>
    <w:p w14:paraId="6BD84FD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3.磋商评审过程的保密与公正</w:t>
      </w:r>
    </w:p>
    <w:p w14:paraId="3E44F58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3.1磋商小组、采购人或采购代理机构、相关监督人员等与评审工作有关的人员，对评审情况以及在评审过程中获悉的国家秘密、商业秘密负有保密责任。</w:t>
      </w:r>
    </w:p>
    <w:p w14:paraId="1108EAA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3.2在磋商评审过程中，磋商供应商不得以任何行为影响磋商评审过程，否则其响应文件将被作为无效响应文件。</w:t>
      </w:r>
    </w:p>
    <w:p w14:paraId="1FDC93E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0EE545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3.4评审开始后，直至向成交供应商授予合同时止，凡是与审查、澄清、评价和比较响应的有关资料以及授标建议等，采购人、磋商小组、采购代理机构均不得向供应商或与评标无关的其他人员透露。</w:t>
      </w:r>
    </w:p>
    <w:p w14:paraId="23BB2AA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3.5在评审期间，采购人或采购代理机构将设专门人员与供应商联系。</w:t>
      </w:r>
    </w:p>
    <w:p w14:paraId="4124401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3.6采购人或采购代理机构和评审小组不向未成交的供应商解释未成交原因，也不公布评审过程中的相关细节。</w:t>
      </w:r>
    </w:p>
    <w:p w14:paraId="5CF5586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4、评审过程的澄清</w:t>
      </w:r>
    </w:p>
    <w:p w14:paraId="7E7D3D8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4.1评审期间，为有助于对响应文件的审查、评价和比较，磋商小组有权通过视频会议要求响应人对其响应文件进行澄清，但并非对每个供应商都作澄清要求。</w:t>
      </w:r>
    </w:p>
    <w:p w14:paraId="779A544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4.2接到磋商小组澄清要求的供应商应派人按磋商小组规定的时间内做出澄清，澄清的内容作为响应文件的补充部分，但实质性的内容不得做任何更改。</w:t>
      </w:r>
    </w:p>
    <w:p w14:paraId="30996E2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 接到磋商小组澄清要求的供应商如未按规定做出澄清，其风险由供应商自行承担。</w:t>
      </w:r>
    </w:p>
    <w:p w14:paraId="7904C16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5.对响应文件的初审</w:t>
      </w:r>
    </w:p>
    <w:p w14:paraId="4FE6BCA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5.1响应文件初审分为资格性审查和符合性审查。</w:t>
      </w:r>
    </w:p>
    <w:p w14:paraId="4C6C585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5.1.1资格性检查：依据法律法规和磋商文件的规定，由采购人对响应文件中的资格审查证明材料进行审查，资格审查的结论，采购人以书面形式向磋商小组进行反馈。</w:t>
      </w:r>
    </w:p>
    <w:p w14:paraId="4B068DF4">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采购人在进行资格性审查的同时，评标委员会从“信用中国”网站查询供应商的信用记录，以确定供应商是否具备参加磋商的资格。</w:t>
      </w:r>
    </w:p>
    <w:p w14:paraId="407E31F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DFD5C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5.1.2 符合性审查：依据磋商文件的规定，由磋商小组从响应文件的有效性、完整性和对磋商文件的响应程度进行审查，以确定是否对磋商文件的实质性要求作出响应。</w:t>
      </w:r>
    </w:p>
    <w:p w14:paraId="0563186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5.1.3 未通过资格审查或符合性审查的供应商，采购人或采购代理机构告知未通过资格审查或符合性审查的原因，评审结束后，采购人或采购代理机构将不再告知未通过资格审查或符合性审查的原因。</w:t>
      </w:r>
    </w:p>
    <w:p w14:paraId="1CABEF7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 在正式磋商之前，磋商小组将首先审查每份响应文件是否实质性响应了磋商文件的要求。实质性响应的响应文件应该是与磋商文件要求的全部条款、条件和规格相符，没有重大负偏离或保留。</w:t>
      </w:r>
    </w:p>
    <w:p w14:paraId="195BF66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84E6314">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5.3 如果响应文件实质上没有响应磋商文件的要求，磋商小组将予以拒绝，供应商不得通过修改或撤销不合要求的偏离或保留而使其响应文件成为实质性响应的文件。</w:t>
      </w:r>
    </w:p>
    <w:p w14:paraId="223D485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5.4 磋商小组将对确定为实质性响应的文件进行进一步审核，看其是否有计算上或累加上的算术错误，修正错误的原则如下：</w:t>
      </w:r>
    </w:p>
    <w:p w14:paraId="3F6B2591">
      <w:pPr>
        <w:pBdr>
          <w:top w:val="none" w:color="000000" w:sz="0" w:space="0"/>
          <w:left w:val="none" w:color="000000" w:sz="0" w:space="0"/>
          <w:bottom w:val="none" w:color="000000" w:sz="0" w:space="0"/>
          <w:right w:val="none" w:color="000000" w:sz="0" w:space="0"/>
        </w:pBdr>
        <w:spacing w:line="360" w:lineRule="auto"/>
        <w:ind w:firstLine="458"/>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t>（1）响应文件中报价总表内容与响应文件中相应内容不一致的，以报价总表为准。</w:t>
      </w:r>
    </w:p>
    <w:p w14:paraId="1544C88E">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（2）大写金额和小写金额不一致的，以大写金额为准。</w:t>
      </w:r>
    </w:p>
    <w:p w14:paraId="6615B2E0">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（3）单价金额小数点或者百分比有明显错位的，以报价总表的总价为准，并修改单价。</w:t>
      </w:r>
    </w:p>
    <w:p w14:paraId="3426285B">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（4）总价金额与按单价汇总金额不一致的，以单价金额计算结果为准。</w:t>
      </w:r>
    </w:p>
    <w:p w14:paraId="28C582D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同时出现两种以上错误的，按照前款规定的顺序修正。</w:t>
      </w:r>
    </w:p>
    <w:p w14:paraId="3F6F6E8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5.5 磋商小组将按上述修正错误的方法调整响应文件中的报价，现场告知供应商，调整后的价格应对供应商具有约束力。如果供应商不接受修正后的价格，则其磋商活动将被拒绝。</w:t>
      </w:r>
    </w:p>
    <w:p w14:paraId="3490CCB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5.6 磋商小组将允许修正响应文件中不构成重大偏离的、微小的、非正规的、不一致的或不规则的地方，但这些修改不能影响任何供应商相应的名次排列。</w:t>
      </w:r>
    </w:p>
    <w:p w14:paraId="46E45BE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39978F2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5.8 供应商在评审全过程中应保持通讯畅通，并安排专人与采购人或采购代理机构及磋商小组联系。</w:t>
      </w:r>
    </w:p>
    <w:p w14:paraId="0962AD2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 被认定为未实质性响应磋商文件的响应文件的情形。</w:t>
      </w:r>
    </w:p>
    <w:p w14:paraId="02D52F6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6.1出现下列情形之一的，作无效响应处理。</w:t>
      </w:r>
    </w:p>
    <w:p w14:paraId="69CA8FE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 同一供应商提交两个（含两个）以上不同的响应报价的。</w:t>
      </w:r>
    </w:p>
    <w:p w14:paraId="5FD0806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 不具备磋商文件中规定的资格要求的。 </w:t>
      </w:r>
    </w:p>
    <w:p w14:paraId="5FF63AA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 响应报价超过了最高限价的。 </w:t>
      </w:r>
    </w:p>
    <w:p w14:paraId="59893F5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响应文件中已标价工程量清单与采购文件规定的暂估价、暂列金额及甲供材料价格不一致的。</w:t>
      </w:r>
    </w:p>
    <w:p w14:paraId="2DE4121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响应文件中已标价工程量清单与招标文件明确列出的不可竞争费用项目或费率或计算基础不一致的。</w:t>
      </w:r>
    </w:p>
    <w:p w14:paraId="42CE3F2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响应文件的已标价工程量清单与采购标文件提供的工程量清单中的项目编码、项目名称、项目特征、计量单位、工程量不一致的。</w:t>
      </w:r>
    </w:p>
    <w:p w14:paraId="3611C0B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6.1.7 未通过符合性检查的。</w:t>
      </w:r>
    </w:p>
    <w:p w14:paraId="563CDA4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6.1.8 不符合法律、法规和磋商文件中规定的其他实质性要求的。</w:t>
      </w:r>
    </w:p>
    <w:p w14:paraId="255A89F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6.1.9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71794B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6.1.10 响应文件含有采购人不能接受的附加条件的。</w:t>
      </w:r>
    </w:p>
    <w:p w14:paraId="52CA425A">
      <w:pPr>
        <w:spacing w:line="360" w:lineRule="auto"/>
        <w:ind w:firstLine="480"/>
        <w:rPr>
          <w:rFonts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14:textFill>
            <w14:solidFill>
              <w14:schemeClr w14:val="tx1"/>
            </w14:solidFill>
          </w14:textFill>
        </w:rPr>
        <w:t>6.1.11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6AE6AB79">
      <w:pPr>
        <w:spacing w:line="360" w:lineRule="auto"/>
        <w:ind w:firstLine="48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6.1.12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p>
    <w:p w14:paraId="4DD7AE8B">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1.投标(响应)报价低于采购项目预算50%的，即投标（响应）报价&lt;采购项目预算*50%；</w:t>
      </w:r>
    </w:p>
    <w:p w14:paraId="3DBD7FF9">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2.投标(响应)报价低于采购项目最高限价45%的，即投标（响应）报价&lt;采购项目最高限价*45%；</w:t>
      </w:r>
    </w:p>
    <w:p w14:paraId="0BDEB77D">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3.评审委员会认定的供应商报价过低、有可能影响产品质量或者不能诚信履约的其他情形。</w:t>
      </w:r>
    </w:p>
    <w:p w14:paraId="25B3BCF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F025BF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6.1.13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73A13C4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6.1.14 响应文件未按照磋商文件要求加盖电子签章。</w:t>
      </w:r>
    </w:p>
    <w:p w14:paraId="4BC540B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6.1.15投标人的商务技术部分得分相差悬殊，评标委员会认为得分畸低者没有实质性响应的。</w:t>
      </w:r>
    </w:p>
    <w:p w14:paraId="2343D29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6.1.16 供应商在系统规定的时间内未成功解密电子响应文件的。</w:t>
      </w:r>
    </w:p>
    <w:p w14:paraId="0A9B1DF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6.1.17 未完整上传响应文件电子文档的,或上传的文件打不开的。</w:t>
      </w:r>
    </w:p>
    <w:p w14:paraId="5428BDE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6.1.18 不同的供应商响应文件制作机器码、文件创建标识码一致的。</w:t>
      </w:r>
    </w:p>
    <w:p w14:paraId="056EE0C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6.1.19 其他法律、法规及本磋商文件规定的属无效响应的情形。</w:t>
      </w:r>
    </w:p>
    <w:p w14:paraId="3A37C72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 出现下列情形之一的，磋商失败。</w:t>
      </w:r>
    </w:p>
    <w:p w14:paraId="33FDA8B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2EB5183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6.2.2 出现影响采购公正的违法违规行为的；</w:t>
      </w:r>
    </w:p>
    <w:p w14:paraId="2287F29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6.2.3 因重大变故，采购任务取消的。</w:t>
      </w:r>
    </w:p>
    <w:p w14:paraId="34596EF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6.2.4 磋商小组认定磋商文件存在歧义、重大缺陷导致评审工作无法进行。</w:t>
      </w:r>
    </w:p>
    <w:p w14:paraId="2C327B9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6.2.5 因系统故障原因造成磋商不成功的。</w:t>
      </w:r>
    </w:p>
    <w:p w14:paraId="5EE352B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 响应文件提交截止时间结束后参加磋商的供应商不足三家的处理：</w:t>
      </w:r>
    </w:p>
    <w:p w14:paraId="4E54E98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6.3.1 如出现响应文件提交截止时间结束后参加磋商的供应商或者在评审期间对磋商文件做出实质响应的供应商不足三家情况，按政府采购相关规定执行。</w:t>
      </w:r>
    </w:p>
    <w:p w14:paraId="0898EA2C">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 响应文件线上格式要求</w:t>
      </w:r>
    </w:p>
    <w:p w14:paraId="0948ADB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供应商应当通过“苏采云”系统提交数据电文形式的响应文件（即电子投标）。</w:t>
      </w:r>
    </w:p>
    <w:p w14:paraId="4343DB7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通过“苏采云”系统提交政府采购客户端工具导出加密的响应文件（后缀名为zip）。响应文件不得超过150M！</w:t>
      </w:r>
    </w:p>
    <w:p w14:paraId="3048BD3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本项目采用线上投标，即供应商响应文件从政府采购客户端工具制作通过“苏采云”系统提交，未提供线上响应文件的，投标无效。</w:t>
      </w:r>
    </w:p>
    <w:p w14:paraId="794EF26D">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七、成交</w:t>
      </w:r>
    </w:p>
    <w:p w14:paraId="1E585B0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bookmarkStart w:id="24" w:name="_Toc513029238"/>
      <w:bookmarkStart w:id="25" w:name="_Toc16938554"/>
      <w:bookmarkStart w:id="26" w:name="_Toc20823310"/>
      <w:r>
        <w:rPr>
          <w:rFonts w:hint="eastAsia" w:ascii="宋体" w:hAnsi="宋体" w:eastAsia="宋体" w:cs="宋体"/>
          <w:color w:val="000000" w:themeColor="text1"/>
          <w:sz w:val="24"/>
          <w:szCs w:val="24"/>
          <w:highlight w:val="none"/>
          <w14:textFill>
            <w14:solidFill>
              <w14:schemeClr w14:val="tx1"/>
            </w14:solidFill>
          </w14:textFill>
        </w:rPr>
        <w:t>1、</w:t>
      </w:r>
      <w:bookmarkEnd w:id="24"/>
      <w:r>
        <w:rPr>
          <w:rFonts w:hint="eastAsia" w:ascii="宋体" w:hAnsi="宋体" w:eastAsia="宋体" w:cs="宋体"/>
          <w:color w:val="000000" w:themeColor="text1"/>
          <w:sz w:val="24"/>
          <w:szCs w:val="24"/>
          <w:highlight w:val="none"/>
          <w14:textFill>
            <w14:solidFill>
              <w14:schemeClr w14:val="tx1"/>
            </w14:solidFill>
          </w14:textFill>
        </w:rPr>
        <w:t>确定</w:t>
      </w:r>
      <w:bookmarkEnd w:id="25"/>
      <w:bookmarkEnd w:id="26"/>
      <w:r>
        <w:rPr>
          <w:rFonts w:hint="eastAsia" w:ascii="宋体" w:hAnsi="宋体" w:eastAsia="宋体" w:cs="宋体"/>
          <w:color w:val="000000" w:themeColor="text1"/>
          <w:sz w:val="24"/>
          <w:szCs w:val="24"/>
          <w:highlight w:val="none"/>
          <w14:textFill>
            <w14:solidFill>
              <w14:schemeClr w14:val="tx1"/>
            </w14:solidFill>
          </w14:textFill>
        </w:rPr>
        <w:t>成交单位</w:t>
      </w:r>
    </w:p>
    <w:p w14:paraId="1AD043F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E898A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7D2C07D9">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成交供应商在领取成交通知书时，需提供肆份与电子响应文件一致的纸质打印文件。</w:t>
      </w:r>
    </w:p>
    <w:p w14:paraId="765A0CE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1.3、成交供应商有下列情形之一的，将取消其成交资格：</w:t>
      </w:r>
    </w:p>
    <w:p w14:paraId="11D10AA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（1）提供虚假材料谋取成交的；</w:t>
      </w:r>
    </w:p>
    <w:p w14:paraId="1006C98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（2）与评审专家、采购人、其他供应商或者采购代理机构工作人员恶意串通的；</w:t>
      </w:r>
    </w:p>
    <w:p w14:paraId="276907A9">
      <w:pPr>
        <w:pBdr>
          <w:top w:val="none" w:color="000000" w:sz="0" w:space="0"/>
          <w:left w:val="none" w:color="000000" w:sz="0" w:space="0"/>
          <w:bottom w:val="none" w:color="000000" w:sz="0" w:space="0"/>
          <w:right w:val="none" w:color="000000" w:sz="0" w:space="0"/>
        </w:pBdr>
        <w:spacing w:line="360" w:lineRule="auto"/>
        <w:ind w:firstLine="456"/>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（3）向评审专家、采购人或采购代理机构工作人员行贿或者提供其他不正当利益的；</w:t>
      </w:r>
    </w:p>
    <w:p w14:paraId="3F88AE2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（4）恶意竞争，最终总报价明显低于其自身合理成本且又无法提供证明的；</w:t>
      </w:r>
    </w:p>
    <w:p w14:paraId="30D7A5E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（5）属于本文件规定的无效条件，但在评审过程中又未被磋商小组发现的；</w:t>
      </w:r>
    </w:p>
    <w:p w14:paraId="2E74949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（6）采取不正当手段诋毁、排挤其他供应商的；</w:t>
      </w:r>
    </w:p>
    <w:p w14:paraId="704152A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（7）成交后无正当理由拒不与采购人签订政府采购合同或者未按照磋商文件确定的事项签订政府采购合同的；</w:t>
      </w:r>
    </w:p>
    <w:p w14:paraId="0CF8556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（8）将政府采购合同转包的；</w:t>
      </w:r>
    </w:p>
    <w:p w14:paraId="6B79A5A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（9）法律、法规、规章规定的属于成交无效的其他情形。</w:t>
      </w:r>
    </w:p>
    <w:p w14:paraId="080CCAF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0312E8C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009519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1.6政府采购合同履行中，采购人需追加与合同标的相同的服务的，在不改变合同其他条款的前提下，可以与供应商协商签订补充合同，但所有补充合同的采购金额不得超过原合同采购金额的百分之十。</w:t>
      </w:r>
    </w:p>
    <w:p w14:paraId="61202A69">
      <w:pPr>
        <w:pBdr>
          <w:top w:val="none" w:color="000000" w:sz="0" w:space="0"/>
          <w:left w:val="none" w:color="000000" w:sz="0" w:space="0"/>
          <w:bottom w:val="none" w:color="000000" w:sz="0" w:space="0"/>
          <w:right w:val="none" w:color="000000" w:sz="0" w:space="0"/>
        </w:pBdr>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八、</w:t>
      </w:r>
      <w:r>
        <w:rPr>
          <w:rFonts w:hint="eastAsia" w:ascii="宋体" w:hAnsi="宋体" w:eastAsia="宋体" w:cs="宋体"/>
          <w:b/>
          <w:bCs/>
          <w:color w:val="000000" w:themeColor="text1"/>
          <w:sz w:val="24"/>
          <w:szCs w:val="24"/>
          <w:highlight w:val="none"/>
          <w14:textFill>
            <w14:solidFill>
              <w14:schemeClr w14:val="tx1"/>
            </w14:solidFill>
          </w14:textFill>
        </w:rPr>
        <w:t>合同签订相关事项</w:t>
      </w:r>
    </w:p>
    <w:p w14:paraId="54A89FA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1、签订合同 </w:t>
      </w:r>
    </w:p>
    <w:p w14:paraId="5B598E2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1.l 采购人与成交供应商应当在成交通知书发出之日起 30 日内，按照磋商文件确定的合同文本以及采购标的、规格型号、采购金额、采购数量、技术和服务要求等事项签订政府采购合同。 </w:t>
      </w:r>
    </w:p>
    <w:p w14:paraId="07B6C77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1.2自政府采购合同签订之日起2个工作日内，将政府采购合同在指定的媒体上公告。</w:t>
      </w:r>
    </w:p>
    <w:p w14:paraId="0D1CC85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磋商文件、成交供应商的响应文件及磋商采购过程中有关澄清、承诺文件均作为合同附件。 </w:t>
      </w:r>
    </w:p>
    <w:p w14:paraId="1686E68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p>
    <w:p w14:paraId="14B8F24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2、标的物的追加</w:t>
      </w:r>
    </w:p>
    <w:p w14:paraId="409E87A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4A56D9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3、履约保证金</w:t>
      </w:r>
    </w:p>
    <w:p w14:paraId="784316F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履约保证金缴纳：</w:t>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871472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3.2履约保证金缴纳期限：</w:t>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95B19E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履约保证金的金额：</w:t>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4035AEA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 履约保证金退还方式、退还时间、退还条件：</w:t>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6C52297F">
      <w:pPr>
        <w:widowControl/>
        <w:spacing w:line="360" w:lineRule="auto"/>
        <w:ind w:firstLine="482"/>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九、政策功能</w:t>
      </w:r>
    </w:p>
    <w:p w14:paraId="6427B4AF">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1、本项目面向中小企业采购：</w:t>
      </w:r>
    </w:p>
    <w:p w14:paraId="2651B25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71524B3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384FD67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中小企业参加政府采购活动，应当出具本办法规定的《中小企业声明函》，否则不得享受相关中小企业扶持政策</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32F27A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1.3供应商为残疾人福利性单位且提供的货物全部由残疾人福利性单位制造的，符合财 库〔2017〕141 号文件规定条件的残疾人福利性单位视同小型、微型企业，提供《残疾人福利性单位声明函》。 </w:t>
      </w:r>
    </w:p>
    <w:p w14:paraId="272209C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44DF7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435D946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1.5在政府采购活动中，供应商提供的货物、工程或者服务符合下列情形的，享受本办法规定的中小企业扶持政策： </w:t>
      </w:r>
    </w:p>
    <w:p w14:paraId="4FA4048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（一）在货物采购项目中，货物由中小企业制造，即货物由中小企业生产且使用该中小企业商号或者注册商标； </w:t>
      </w:r>
    </w:p>
    <w:p w14:paraId="5FF9502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（二）在工程采购项目中，工程由中小企业承建，即工程施工单位为中小企业； </w:t>
      </w:r>
    </w:p>
    <w:p w14:paraId="36CBCD9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0DFF878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以上规定未尽事项，按《政府采购促进中小企业发展管理办法》等有关制度规定执行。 </w:t>
      </w:r>
    </w:p>
    <w:p w14:paraId="6A86AED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1.6《中小企业声明函》等相关资料应上传至电子投标文件中，否则不予认可。 </w:t>
      </w:r>
    </w:p>
    <w:p w14:paraId="520067F0">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1.7本项目属性为</w:t>
      </w:r>
      <w:r>
        <w:rPr>
          <w:rFonts w:hint="eastAsia" w:ascii="宋体" w:hAnsi="宋体" w:eastAsia="宋体" w:cs="宋体"/>
          <w:b/>
          <w:bCs/>
          <w:color w:val="000000" w:themeColor="text1"/>
          <w:sz w:val="24"/>
          <w:szCs w:val="24"/>
          <w:highlight w:val="none"/>
          <w:u w:val="single"/>
          <w14:textFill>
            <w14:solidFill>
              <w14:schemeClr w14:val="tx1"/>
            </w14:solidFill>
          </w14:textFill>
        </w:rPr>
        <w:t>工程类</w:t>
      </w:r>
      <w:r>
        <w:rPr>
          <w:rFonts w:hint="eastAsia" w:ascii="宋体" w:hAnsi="宋体" w:eastAsia="宋体" w:cs="宋体"/>
          <w:b/>
          <w:bCs/>
          <w:color w:val="000000" w:themeColor="text1"/>
          <w:sz w:val="24"/>
          <w:szCs w:val="24"/>
          <w:highlight w:val="none"/>
          <w14:textFill>
            <w14:solidFill>
              <w14:schemeClr w14:val="tx1"/>
            </w14:solidFill>
          </w14:textFill>
        </w:rPr>
        <w:t>，采购标的对应的中小企业划分标准所属行业为</w:t>
      </w:r>
      <w:r>
        <w:rPr>
          <w:rFonts w:hint="eastAsia" w:ascii="宋体" w:hAnsi="宋体" w:eastAsia="宋体" w:cs="宋体"/>
          <w:b/>
          <w:bCs/>
          <w:color w:val="000000" w:themeColor="text1"/>
          <w:sz w:val="24"/>
          <w:szCs w:val="24"/>
          <w:highlight w:val="none"/>
          <w:u w:val="single"/>
          <w14:textFill>
            <w14:solidFill>
              <w14:schemeClr w14:val="tx1"/>
            </w14:solidFill>
          </w14:textFill>
        </w:rPr>
        <w:t>建筑业</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31C8F8E">
      <w:pPr>
        <w:pBdr>
          <w:top w:val="none" w:color="000000" w:sz="0" w:space="0"/>
          <w:left w:val="none" w:color="000000" w:sz="0" w:space="0"/>
          <w:bottom w:val="none" w:color="000000" w:sz="0" w:space="0"/>
          <w:right w:val="none" w:color="000000" w:sz="0" w:space="0"/>
        </w:pBdr>
        <w:spacing w:line="360" w:lineRule="auto"/>
        <w:ind w:firstLine="482"/>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2、支持绿色发展</w:t>
      </w:r>
    </w:p>
    <w:p w14:paraId="44188C1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21F0B58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8D8B9A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F34C6A7">
      <w:pPr>
        <w:widowControl/>
        <w:spacing w:line="360" w:lineRule="auto"/>
        <w:ind w:firstLine="482"/>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十、质疑和投诉</w:t>
      </w:r>
    </w:p>
    <w:p w14:paraId="2201A29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1、质疑的提出 </w:t>
      </w:r>
    </w:p>
    <w:p w14:paraId="4FD9AF3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提出质疑的供应商应当是参与所质疑项目采购活动的供应商。 </w:t>
      </w:r>
    </w:p>
    <w:p w14:paraId="0A4FEA7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3AC58DA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提出质疑时，必须坚持“谁主张，谁举证”“实事求是”的原则，不能臆测。 </w:t>
      </w:r>
    </w:p>
    <w:p w14:paraId="3FEE4F9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642B63EA">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质疑函的接收方式为供应商书面原件提交。联系部门、联系电话和通讯地址详见本磋商文件“竞争性磋商采购公告”。质疑实行实名制，不得进行虚假、恶意质疑。 </w:t>
      </w:r>
    </w:p>
    <w:p w14:paraId="7CBCBB3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供应商提出质疑应当提交质疑函和必要的证明材料。应当包括下列内容： </w:t>
      </w:r>
    </w:p>
    <w:p w14:paraId="17D7838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 </w:t>
      </w:r>
    </w:p>
    <w:p w14:paraId="3F9D55F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 </w:t>
      </w:r>
    </w:p>
    <w:p w14:paraId="4E83952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 </w:t>
      </w:r>
    </w:p>
    <w:p w14:paraId="0249881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 </w:t>
      </w:r>
    </w:p>
    <w:p w14:paraId="3D99CC9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 </w:t>
      </w:r>
    </w:p>
    <w:p w14:paraId="6052920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 </w:t>
      </w:r>
    </w:p>
    <w:p w14:paraId="77754EBF">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（7）必要的证明材料； </w:t>
      </w:r>
    </w:p>
    <w:p w14:paraId="548B25D2">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（8）采购文件(交易文件)下载回执函； </w:t>
      </w:r>
    </w:p>
    <w:p w14:paraId="1492FA7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（9）营业执照复印件及法定代表人授权委托书、法定代表人身份证复印件、委托代理人身份证复印件。 </w:t>
      </w:r>
    </w:p>
    <w:p w14:paraId="62F3115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 </w:t>
      </w:r>
    </w:p>
    <w:p w14:paraId="0E7ED6BE">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2、质疑函的受理和答复 </w:t>
      </w:r>
    </w:p>
    <w:p w14:paraId="3E0DB9F9">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301ACB53">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5D8758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对不符合质疑要求的，采购人、代理机构有权要求其补充必要的证明材料，质疑供应商未在法定的时间内提供补充必要的证明材料的，视同放弃质疑。 </w:t>
      </w:r>
    </w:p>
    <w:p w14:paraId="21D1402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61778C46">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3、投诉 </w:t>
      </w:r>
    </w:p>
    <w:p w14:paraId="528BE6B8">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投诉事项依照有关法律、法规执行。</w:t>
      </w:r>
    </w:p>
    <w:p w14:paraId="129779FA">
      <w:pPr>
        <w:spacing w:line="360" w:lineRule="auto"/>
        <w:ind w:firstLine="482"/>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十一、其他事项</w:t>
      </w:r>
    </w:p>
    <w:p w14:paraId="0587FA20">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1、解释权</w:t>
      </w:r>
    </w:p>
    <w:p w14:paraId="2117873D">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1301B528">
      <w:pPr>
        <w:spacing w:line="360" w:lineRule="auto"/>
        <w:ind w:firstLine="482"/>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p>
    <w:p w14:paraId="2B6876F4">
      <w:pPr>
        <w:spacing w:line="360" w:lineRule="auto"/>
        <w:ind w:firstLine="643" w:firstLineChars="200"/>
        <w:jc w:val="cente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第三章 合同条款及格式</w:t>
      </w:r>
    </w:p>
    <w:p w14:paraId="122AE20B">
      <w:pPr>
        <w:spacing w:line="360" w:lineRule="auto"/>
        <w:ind w:firstLine="643" w:firstLineChars="200"/>
        <w:jc w:val="center"/>
        <w:outlineLvl w:val="2"/>
        <w:rPr>
          <w:rFonts w:ascii="宋体" w:hAnsi="宋体" w:eastAsia="宋体" w:cs="宋体"/>
          <w:bCs/>
          <w:color w:val="000000" w:themeColor="text1"/>
          <w:sz w:val="32"/>
          <w:szCs w:val="32"/>
          <w:highlight w:val="none"/>
          <w14:textFill>
            <w14:solidFill>
              <w14:schemeClr w14:val="tx1"/>
            </w14:solidFill>
          </w14:textFill>
        </w:rPr>
      </w:pPr>
      <w:bookmarkStart w:id="27" w:name="_Toc20231"/>
      <w:bookmarkStart w:id="28" w:name="_Toc26045"/>
      <w:bookmarkStart w:id="29" w:name="_Toc7586"/>
      <w:bookmarkStart w:id="30" w:name="_Toc32498"/>
      <w:bookmarkStart w:id="31" w:name="_Toc439886194"/>
      <w:bookmarkStart w:id="32" w:name="_Toc26488"/>
      <w:bookmarkStart w:id="33" w:name="_Toc6956"/>
      <w:bookmarkStart w:id="34" w:name="_Toc7734"/>
      <w:bookmarkStart w:id="35" w:name="_Toc18255"/>
      <w:r>
        <w:rPr>
          <w:rFonts w:hint="eastAsia" w:ascii="宋体" w:hAnsi="宋体" w:eastAsia="宋体" w:cs="宋体"/>
          <w:b/>
          <w:bCs/>
          <w:color w:val="000000" w:themeColor="text1"/>
          <w:sz w:val="32"/>
          <w:szCs w:val="32"/>
          <w:highlight w:val="none"/>
          <w14:textFill>
            <w14:solidFill>
              <w14:schemeClr w14:val="tx1"/>
            </w14:solidFill>
          </w14:textFill>
        </w:rPr>
        <w:t>第一部分 合同协议书</w:t>
      </w:r>
    </w:p>
    <w:p w14:paraId="73C64D9F">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1E005F2F">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1C8D018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根据《中华人民共和国民法典》、《中华人民共和国建筑法》及有关法律规定，遵循平等、自愿、公平和诚实信用的原则，双方就工程施工及有关事项协商一致，共同达成如下协议：</w:t>
      </w:r>
    </w:p>
    <w:p w14:paraId="73E8D1F8">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一、工程概况 </w:t>
      </w:r>
    </w:p>
    <w:p w14:paraId="54A40B47">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0D91E4E">
      <w:pPr>
        <w:spacing w:line="360" w:lineRule="auto"/>
        <w:ind w:firstLine="480" w:firstLineChars="20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2.工程地点：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0B19F38">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3.工程立项批准文号：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w:t>
      </w:r>
    </w:p>
    <w:p w14:paraId="77E837E0">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4.资金来源：</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p>
    <w:p w14:paraId="4F87C81F">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5.工程内容：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p>
    <w:p w14:paraId="2B2F07C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群体工程应附《承包人承揽工程项目一览表》（附件1）。</w:t>
      </w:r>
    </w:p>
    <w:p w14:paraId="4306FE2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6.工程承包范围：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068253A">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二、合同工期</w:t>
      </w:r>
    </w:p>
    <w:p w14:paraId="5C81394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天。工期总日历天数与根据前述计划开竣工日期计算的工期天数不一致的，以工期总日历天数为准。</w:t>
      </w:r>
    </w:p>
    <w:p w14:paraId="7216BB60">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三、质量标准</w:t>
      </w:r>
    </w:p>
    <w:p w14:paraId="4CEB70D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工程质量符合标准</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20F2682">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eastAsia="宋体" w:cs="宋体"/>
          <w:bCs/>
          <w:color w:val="000000" w:themeColor="text1"/>
          <w:sz w:val="24"/>
          <w:szCs w:val="24"/>
          <w:highlight w:val="none"/>
          <w14:textFill>
            <w14:solidFill>
              <w14:schemeClr w14:val="tx1"/>
            </w14:solidFill>
          </w14:textFill>
        </w:rPr>
        <w:tab/>
      </w:r>
    </w:p>
    <w:p w14:paraId="4429D87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0103BDE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金额(大写)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元(人民币)</w:t>
      </w:r>
    </w:p>
    <w:p w14:paraId="4C36652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p w14:paraId="417B3E60">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五、项目经理</w:t>
      </w:r>
    </w:p>
    <w:p w14:paraId="02644EF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918F806">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六、合同文件构成</w:t>
      </w:r>
    </w:p>
    <w:p w14:paraId="05E51F55">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本协议书与下列文件一起构成合同文件：</w:t>
      </w:r>
    </w:p>
    <w:p w14:paraId="1C5BE05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（1）中标通知书（如果有）；</w:t>
      </w:r>
    </w:p>
    <w:p w14:paraId="75D04D97">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（2）投标函及其附录（如果有）； </w:t>
      </w:r>
    </w:p>
    <w:p w14:paraId="5D0FABE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（3）专用合同条款及其附件；</w:t>
      </w:r>
    </w:p>
    <w:p w14:paraId="6BD6DE3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（4）通用合同条款；</w:t>
      </w:r>
    </w:p>
    <w:p w14:paraId="0DCBAED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（5）技术标准和要求；</w:t>
      </w:r>
    </w:p>
    <w:p w14:paraId="7BA8B0D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（6）图纸；</w:t>
      </w:r>
    </w:p>
    <w:p w14:paraId="4185977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（7）已标价工程量清单或预算书；</w:t>
      </w:r>
    </w:p>
    <w:p w14:paraId="56BF531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（8）其他合同文件。</w:t>
      </w:r>
    </w:p>
    <w:p w14:paraId="6F03EF8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0F54A6B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67F5F168">
      <w:pPr>
        <w:spacing w:line="360" w:lineRule="auto"/>
        <w:ind w:firstLine="480" w:firstLineChars="200"/>
        <w:outlineLvl w:val="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七、承诺</w:t>
      </w:r>
    </w:p>
    <w:p w14:paraId="44C42C11">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64A0DA3">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2B872057">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70DBF1A3">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八、词语含义</w:t>
      </w:r>
    </w:p>
    <w:p w14:paraId="5E4F2C7C">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37E38A13">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九、签订时间</w:t>
      </w:r>
    </w:p>
    <w:p w14:paraId="4F66CCE8">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年 月 日  </w:t>
      </w:r>
      <w:r>
        <w:rPr>
          <w:rFonts w:hint="eastAsia" w:ascii="宋体" w:hAnsi="宋体" w:eastAsia="宋体" w:cs="宋体"/>
          <w:bCs/>
          <w:color w:val="000000" w:themeColor="text1"/>
          <w:sz w:val="24"/>
          <w:szCs w:val="24"/>
          <w:highlight w:val="none"/>
          <w14:textFill>
            <w14:solidFill>
              <w14:schemeClr w14:val="tx1"/>
            </w14:solidFill>
          </w14:textFill>
        </w:rPr>
        <w:t>签订。</w:t>
      </w:r>
    </w:p>
    <w:p w14:paraId="6F7CEADF">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十、签订地点</w:t>
      </w:r>
    </w:p>
    <w:p w14:paraId="1FFCAC6C">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本合同在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签订。</w:t>
      </w:r>
    </w:p>
    <w:p w14:paraId="5C2A1092">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十一、补充协议</w:t>
      </w:r>
    </w:p>
    <w:p w14:paraId="7F4E5481">
      <w:pPr>
        <w:spacing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5695F1B4">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十二、合同生效</w:t>
      </w:r>
    </w:p>
    <w:p w14:paraId="66B82A9B">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本合同自</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双方签字盖章后  </w:t>
      </w:r>
      <w:r>
        <w:rPr>
          <w:rFonts w:hint="eastAsia" w:ascii="宋体" w:hAnsi="宋体" w:eastAsia="宋体" w:cs="宋体"/>
          <w:bCs/>
          <w:color w:val="000000" w:themeColor="text1"/>
          <w:sz w:val="24"/>
          <w:szCs w:val="24"/>
          <w:highlight w:val="none"/>
          <w14:textFill>
            <w14:solidFill>
              <w14:schemeClr w14:val="tx1"/>
            </w14:solidFill>
          </w14:textFill>
        </w:rPr>
        <w:t>生效。</w:t>
      </w:r>
    </w:p>
    <w:p w14:paraId="4F4C3FFC">
      <w:pPr>
        <w:spacing w:line="360" w:lineRule="auto"/>
        <w:ind w:firstLine="480" w:firstLineChars="200"/>
        <w:outlineLvl w:val="3"/>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十三、合同份数</w:t>
      </w:r>
    </w:p>
    <w:p w14:paraId="3E7EB828">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本合同一式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份，承包人执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份。</w:t>
      </w:r>
    </w:p>
    <w:p w14:paraId="4F21C097">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p>
    <w:p w14:paraId="79764DB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  (公章)                       承包人：  (公章)</w:t>
      </w:r>
    </w:p>
    <w:p w14:paraId="40D4C0D3">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p>
    <w:p w14:paraId="6BB5E0D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             法定代表人或其委托代理人：</w:t>
      </w:r>
    </w:p>
    <w:p w14:paraId="0E6E218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                                （签字）</w:t>
      </w:r>
    </w:p>
    <w:p w14:paraId="2AB1A2F8">
      <w:pPr>
        <w:tabs>
          <w:tab w:val="left" w:pos="441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组织机构代码：                          组织机构代码：</w:t>
      </w:r>
    </w:p>
    <w:p w14:paraId="64BFBC4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                                  地址：</w:t>
      </w:r>
    </w:p>
    <w:p w14:paraId="2248EA1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 政 编 码 ：                          邮 政 编 码 ：</w:t>
      </w:r>
    </w:p>
    <w:p w14:paraId="4ADC89C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                                  电话：</w:t>
      </w:r>
    </w:p>
    <w:p w14:paraId="394ED74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传真：                                  传真：</w:t>
      </w:r>
    </w:p>
    <w:p w14:paraId="4859BC1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                              电子信箱：</w:t>
      </w:r>
    </w:p>
    <w:p w14:paraId="0FF078F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                              开户银行：</w:t>
      </w:r>
    </w:p>
    <w:p w14:paraId="000A449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                                   账号：</w:t>
      </w:r>
    </w:p>
    <w:p w14:paraId="0DA1115A">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见 证 方：</w:t>
      </w:r>
    </w:p>
    <w:p w14:paraId="15B42AF0">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见证日期：      年  月  日</w:t>
      </w:r>
    </w:p>
    <w:p w14:paraId="3DD68662">
      <w:pPr>
        <w:pStyle w:val="239"/>
        <w:rPr>
          <w:color w:val="000000" w:themeColor="text1"/>
          <w:highlight w:val="none"/>
          <w14:textFill>
            <w14:solidFill>
              <w14:schemeClr w14:val="tx1"/>
            </w14:solidFill>
          </w14:textFill>
        </w:rPr>
      </w:pPr>
    </w:p>
    <w:p w14:paraId="308D24E5">
      <w:pPr>
        <w:pStyle w:val="239"/>
        <w:rPr>
          <w:color w:val="000000" w:themeColor="text1"/>
          <w:highlight w:val="none"/>
          <w14:textFill>
            <w14:solidFill>
              <w14:schemeClr w14:val="tx1"/>
            </w14:solidFill>
          </w14:textFill>
        </w:rPr>
      </w:pPr>
    </w:p>
    <w:p w14:paraId="785A1118">
      <w:pPr>
        <w:pStyle w:val="239"/>
        <w:rPr>
          <w:color w:val="000000" w:themeColor="text1"/>
          <w:highlight w:val="none"/>
          <w14:textFill>
            <w14:solidFill>
              <w14:schemeClr w14:val="tx1"/>
            </w14:solidFill>
          </w14:textFill>
        </w:rPr>
      </w:pPr>
    </w:p>
    <w:p w14:paraId="726A3310">
      <w:pPr>
        <w:pStyle w:val="239"/>
        <w:rPr>
          <w:color w:val="000000" w:themeColor="text1"/>
          <w:highlight w:val="none"/>
          <w14:textFill>
            <w14:solidFill>
              <w14:schemeClr w14:val="tx1"/>
            </w14:solidFill>
          </w14:textFill>
        </w:rPr>
      </w:pPr>
    </w:p>
    <w:p w14:paraId="24FFE075">
      <w:pPr>
        <w:pStyle w:val="239"/>
        <w:rPr>
          <w:color w:val="000000" w:themeColor="text1"/>
          <w:highlight w:val="none"/>
          <w14:textFill>
            <w14:solidFill>
              <w14:schemeClr w14:val="tx1"/>
            </w14:solidFill>
          </w14:textFill>
        </w:rPr>
      </w:pPr>
    </w:p>
    <w:p w14:paraId="110AD0A3">
      <w:pPr>
        <w:pStyle w:val="239"/>
        <w:rPr>
          <w:color w:val="000000" w:themeColor="text1"/>
          <w:highlight w:val="none"/>
          <w14:textFill>
            <w14:solidFill>
              <w14:schemeClr w14:val="tx1"/>
            </w14:solidFill>
          </w14:textFill>
        </w:rPr>
      </w:pPr>
    </w:p>
    <w:p w14:paraId="4CB45B7D">
      <w:pPr>
        <w:pStyle w:val="239"/>
        <w:rPr>
          <w:color w:val="000000" w:themeColor="text1"/>
          <w:highlight w:val="none"/>
          <w14:textFill>
            <w14:solidFill>
              <w14:schemeClr w14:val="tx1"/>
            </w14:solidFill>
          </w14:textFill>
        </w:rPr>
      </w:pPr>
    </w:p>
    <w:p w14:paraId="64A26306">
      <w:pPr>
        <w:pStyle w:val="239"/>
        <w:rPr>
          <w:color w:val="000000" w:themeColor="text1"/>
          <w:highlight w:val="none"/>
          <w14:textFill>
            <w14:solidFill>
              <w14:schemeClr w14:val="tx1"/>
            </w14:solidFill>
          </w14:textFill>
        </w:rPr>
      </w:pPr>
    </w:p>
    <w:p w14:paraId="16F48051">
      <w:pPr>
        <w:pStyle w:val="239"/>
        <w:rPr>
          <w:color w:val="000000" w:themeColor="text1"/>
          <w:highlight w:val="none"/>
          <w14:textFill>
            <w14:solidFill>
              <w14:schemeClr w14:val="tx1"/>
            </w14:solidFill>
          </w14:textFill>
        </w:rPr>
      </w:pPr>
    </w:p>
    <w:p w14:paraId="1A6F34DA">
      <w:pPr>
        <w:pStyle w:val="239"/>
        <w:rPr>
          <w:color w:val="000000" w:themeColor="text1"/>
          <w:highlight w:val="none"/>
          <w14:textFill>
            <w14:solidFill>
              <w14:schemeClr w14:val="tx1"/>
            </w14:solidFill>
          </w14:textFill>
        </w:rPr>
      </w:pPr>
    </w:p>
    <w:p w14:paraId="6F430D35">
      <w:pPr>
        <w:pStyle w:val="239"/>
        <w:rPr>
          <w:color w:val="000000" w:themeColor="text1"/>
          <w:highlight w:val="none"/>
          <w14:textFill>
            <w14:solidFill>
              <w14:schemeClr w14:val="tx1"/>
            </w14:solidFill>
          </w14:textFill>
        </w:rPr>
      </w:pPr>
    </w:p>
    <w:p w14:paraId="6DC9D43A">
      <w:pPr>
        <w:pStyle w:val="239"/>
        <w:rPr>
          <w:color w:val="000000" w:themeColor="text1"/>
          <w:highlight w:val="none"/>
          <w14:textFill>
            <w14:solidFill>
              <w14:schemeClr w14:val="tx1"/>
            </w14:solidFill>
          </w14:textFill>
        </w:rPr>
      </w:pPr>
    </w:p>
    <w:p w14:paraId="02CD30A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08374E0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912329B">
      <w:pPr>
        <w:pStyle w:val="239"/>
        <w:rPr>
          <w:color w:val="000000" w:themeColor="text1"/>
          <w:highlight w:val="none"/>
          <w14:textFill>
            <w14:solidFill>
              <w14:schemeClr w14:val="tx1"/>
            </w14:solidFill>
          </w14:textFill>
        </w:rPr>
      </w:pPr>
    </w:p>
    <w:p w14:paraId="7597739D">
      <w:pPr>
        <w:pStyle w:val="239"/>
        <w:rPr>
          <w:color w:val="000000" w:themeColor="text1"/>
          <w:highlight w:val="none"/>
          <w14:textFill>
            <w14:solidFill>
              <w14:schemeClr w14:val="tx1"/>
            </w14:solidFill>
          </w14:textFill>
        </w:rPr>
      </w:pPr>
    </w:p>
    <w:p w14:paraId="79E4C116">
      <w:pPr>
        <w:pStyle w:val="239"/>
        <w:rPr>
          <w:color w:val="000000" w:themeColor="text1"/>
          <w:highlight w:val="none"/>
          <w14:textFill>
            <w14:solidFill>
              <w14:schemeClr w14:val="tx1"/>
            </w14:solidFill>
          </w14:textFill>
        </w:rPr>
      </w:pPr>
    </w:p>
    <w:p w14:paraId="0B5A9922">
      <w:pPr>
        <w:spacing w:line="360" w:lineRule="auto"/>
        <w:ind w:firstLine="643" w:firstLineChars="200"/>
        <w:jc w:val="center"/>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第二部分 通用合同条款（略）</w:t>
      </w:r>
    </w:p>
    <w:p w14:paraId="0BD9FBAD">
      <w:pPr>
        <w:spacing w:line="360" w:lineRule="auto"/>
        <w:ind w:firstLine="640" w:firstLineChars="200"/>
        <w:rPr>
          <w:rFonts w:ascii="宋体" w:hAnsi="宋体" w:eastAsia="宋体" w:cs="宋体"/>
          <w:color w:val="000000" w:themeColor="text1"/>
          <w:sz w:val="32"/>
          <w:szCs w:val="32"/>
          <w:highlight w:val="none"/>
          <w14:textFill>
            <w14:solidFill>
              <w14:schemeClr w14:val="tx1"/>
            </w14:solidFill>
          </w14:textFill>
        </w:rPr>
      </w:pPr>
    </w:p>
    <w:p w14:paraId="445D4BC9">
      <w:pPr>
        <w:spacing w:line="360" w:lineRule="auto"/>
        <w:ind w:firstLine="562"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采用《建设工程施工合同（示范文本）》（GF—2017—0201）。</w:t>
      </w:r>
    </w:p>
    <w:p w14:paraId="39A3ABAD">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720668A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729A81A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30B6ED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1E80514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BC2ED7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517B181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05C20FB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348F67F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14032B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083110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39F7A09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FD6709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31D5C8B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5C93F68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BE986D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2979EE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5631C7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1FD378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1AED44D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11D50C7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5D3AD5D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1D8D7AA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30250A12">
      <w:pPr>
        <w:spacing w:line="360" w:lineRule="auto"/>
        <w:ind w:firstLine="643" w:firstLineChars="200"/>
        <w:jc w:val="center"/>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第三部分 专用合同条款</w:t>
      </w:r>
    </w:p>
    <w:p w14:paraId="0B540287">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 一般约定</w:t>
      </w:r>
    </w:p>
    <w:p w14:paraId="23AB4FE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16A6EDF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1.1.1合同</w:t>
      </w:r>
    </w:p>
    <w:p w14:paraId="47083B11">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合同履行中，发包人、承包人有关工程的洽商、变更等书面协</w:t>
      </w:r>
    </w:p>
    <w:p w14:paraId="06AE1DA9">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议或文件视为本合同的组成部分</w:t>
      </w:r>
      <w:r>
        <w:rPr>
          <w:rFonts w:hint="eastAsia" w:ascii="宋体" w:hAnsi="宋体" w:eastAsia="宋体" w:cs="宋体"/>
          <w:color w:val="000000" w:themeColor="text1"/>
          <w:sz w:val="24"/>
          <w:szCs w:val="24"/>
          <w:highlight w:val="none"/>
          <w14:textFill>
            <w14:solidFill>
              <w14:schemeClr w14:val="tx1"/>
            </w14:solidFill>
          </w14:textFill>
        </w:rPr>
        <w:t>。</w:t>
      </w:r>
    </w:p>
    <w:p w14:paraId="69061A3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合同当事人及其他相关方</w:t>
      </w:r>
    </w:p>
    <w:p w14:paraId="1330077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7DDB4DF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9DEE25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567ACA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C6F30E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5B7972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519529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673887F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F8F42F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530B28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12AA85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F3985B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662207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工程和设备</w:t>
      </w:r>
    </w:p>
    <w:p w14:paraId="478D84A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临时设施及永久占地  </w:t>
      </w:r>
      <w:r>
        <w:rPr>
          <w:rFonts w:hint="eastAsia" w:ascii="宋体" w:hAnsi="宋体" w:eastAsia="宋体" w:cs="宋体"/>
          <w:color w:val="000000" w:themeColor="text1"/>
          <w:sz w:val="24"/>
          <w:szCs w:val="24"/>
          <w:highlight w:val="none"/>
          <w14:textFill>
            <w14:solidFill>
              <w14:schemeClr w14:val="tx1"/>
            </w14:solidFill>
          </w14:textFill>
        </w:rPr>
        <w:t>。</w:t>
      </w:r>
    </w:p>
    <w:p w14:paraId="1BF1D6F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638554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22B0639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1.3法律 </w:t>
      </w:r>
    </w:p>
    <w:p w14:paraId="3078AA81">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中华人民共和国建筑法》、《中华人民共和国民法典》、《中华人民共和国政府采购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hint="eastAsia" w:ascii="宋体" w:hAnsi="宋体" w:eastAsia="宋体" w:cs="宋体"/>
          <w:color w:val="000000" w:themeColor="text1"/>
          <w:sz w:val="24"/>
          <w:szCs w:val="24"/>
          <w:highlight w:val="none"/>
          <w14:textFill>
            <w14:solidFill>
              <w14:schemeClr w14:val="tx1"/>
            </w14:solidFill>
          </w14:textFill>
        </w:rPr>
        <w:t>。</w:t>
      </w:r>
    </w:p>
    <w:p w14:paraId="04035CA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529547B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p>
    <w:p w14:paraId="6915771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16BD9E4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B5AC25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97DD2C7">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sz w:val="24"/>
          <w:szCs w:val="24"/>
          <w:highlight w:val="none"/>
          <w14:textFill>
            <w14:solidFill>
              <w14:schemeClr w14:val="tx1"/>
            </w14:solidFill>
          </w14:textFill>
        </w:rPr>
        <w:t>。</w:t>
      </w:r>
    </w:p>
    <w:p w14:paraId="35034DA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259457D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p>
    <w:p w14:paraId="1A720A4B">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（1）合同协议书；</w:t>
      </w:r>
    </w:p>
    <w:p w14:paraId="7ABC27EF">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（2）成交通知书；</w:t>
      </w:r>
    </w:p>
    <w:p w14:paraId="7CE2AF04">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（3）投标函及其附录；</w:t>
      </w:r>
    </w:p>
    <w:p w14:paraId="3E39DD1A">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（4）专用合同条款及其附件；</w:t>
      </w:r>
    </w:p>
    <w:p w14:paraId="33A47632">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（5）通用合同条款；</w:t>
      </w:r>
    </w:p>
    <w:p w14:paraId="056315C2">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（6）招标函及招标函附录；</w:t>
      </w:r>
    </w:p>
    <w:p w14:paraId="58584E18">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（7）技术标准和要求；</w:t>
      </w:r>
    </w:p>
    <w:p w14:paraId="49A1305B">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（8）图纸；</w:t>
      </w:r>
    </w:p>
    <w:p w14:paraId="02246A56">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（9）已标价工程量清单或预算书；</w:t>
      </w:r>
    </w:p>
    <w:p w14:paraId="2C7E8CE6">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（10）其他合同文件。</w:t>
      </w:r>
    </w:p>
    <w:p w14:paraId="7E5224D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r>
        <w:rPr>
          <w:rFonts w:hint="eastAsia" w:ascii="宋体" w:hAnsi="宋体" w:eastAsia="宋体" w:cs="宋体"/>
          <w:color w:val="000000" w:themeColor="text1"/>
          <w:sz w:val="24"/>
          <w:szCs w:val="24"/>
          <w:highlight w:val="none"/>
          <w14:textFill>
            <w14:solidFill>
              <w14:schemeClr w14:val="tx1"/>
            </w14:solidFill>
          </w14:textFill>
        </w:rPr>
        <w:tab/>
      </w:r>
    </w:p>
    <w:p w14:paraId="33388E0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图纸的提供</w:t>
      </w:r>
    </w:p>
    <w:p w14:paraId="0FD83AAD">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合同协议书签订后3天内；</w:t>
      </w:r>
    </w:p>
    <w:p w14:paraId="4E7E14E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叁套</w:t>
      </w:r>
      <w:r>
        <w:rPr>
          <w:rFonts w:hint="eastAsia" w:ascii="宋体" w:hAnsi="宋体" w:eastAsia="宋体" w:cs="宋体"/>
          <w:color w:val="000000" w:themeColor="text1"/>
          <w:sz w:val="24"/>
          <w:szCs w:val="24"/>
          <w:highlight w:val="none"/>
          <w14:textFill>
            <w14:solidFill>
              <w14:schemeClr w14:val="tx1"/>
            </w14:solidFill>
          </w14:textFill>
        </w:rPr>
        <w:t>；</w:t>
      </w:r>
    </w:p>
    <w:p w14:paraId="4F392B9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该工程全套施工图纸 </w:t>
      </w:r>
      <w:r>
        <w:rPr>
          <w:rFonts w:hint="eastAsia" w:ascii="宋体" w:hAnsi="宋体" w:eastAsia="宋体" w:cs="宋体"/>
          <w:color w:val="000000" w:themeColor="text1"/>
          <w:sz w:val="24"/>
          <w:szCs w:val="24"/>
          <w:highlight w:val="none"/>
          <w14:textFill>
            <w14:solidFill>
              <w14:schemeClr w14:val="tx1"/>
            </w14:solidFill>
          </w14:textFill>
        </w:rPr>
        <w:t>。</w:t>
      </w:r>
    </w:p>
    <w:p w14:paraId="5288006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 承包人文件</w:t>
      </w:r>
    </w:p>
    <w:p w14:paraId="48FD0170">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r>
        <w:rPr>
          <w:rFonts w:hint="eastAsia" w:ascii="宋体" w:hAnsi="宋体" w:eastAsia="宋体" w:cs="宋体"/>
          <w:color w:val="000000" w:themeColor="text1"/>
          <w:sz w:val="24"/>
          <w:szCs w:val="24"/>
          <w:highlight w:val="none"/>
          <w:u w:val="single"/>
          <w14:textFill>
            <w14:solidFill>
              <w14:schemeClr w14:val="tx1"/>
            </w14:solidFill>
          </w14:textFill>
        </w:rPr>
        <w:t>施工组织方案、施工进度计划，材料计划。已完工程量报表（含工程变更及签证预算）、承包人购材料清单、劳动力及用款计划等及发包人要求提供的其他资料；</w:t>
      </w:r>
    </w:p>
    <w:p w14:paraId="2E2F1076">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sz w:val="24"/>
          <w:szCs w:val="24"/>
          <w:highlight w:val="none"/>
          <w:u w:val="single"/>
          <w14:textFill>
            <w14:solidFill>
              <w14:schemeClr w14:val="tx1"/>
            </w14:solidFill>
          </w14:textFill>
        </w:rPr>
        <w:t>合同签订3日内分别向发包人提供详细的施工组织方案、施工进度计划及完工时间，进场后3日内提供材料计划。每月25日前分别向发包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themeColor="text1"/>
          <w:sz w:val="24"/>
          <w:szCs w:val="24"/>
          <w:highlight w:val="none"/>
          <w14:textFill>
            <w14:solidFill>
              <w14:schemeClr w14:val="tx1"/>
            </w14:solidFill>
          </w14:textFill>
        </w:rPr>
        <w:t>；</w:t>
      </w:r>
    </w:p>
    <w:p w14:paraId="5851167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sz w:val="24"/>
          <w:szCs w:val="24"/>
          <w:highlight w:val="none"/>
          <w:u w:val="single"/>
          <w14:textFill>
            <w14:solidFill>
              <w14:schemeClr w14:val="tx1"/>
            </w14:solidFill>
          </w14:textFill>
        </w:rPr>
        <w:t>叁套</w:t>
      </w:r>
      <w:r>
        <w:rPr>
          <w:rFonts w:hint="eastAsia" w:ascii="宋体" w:hAnsi="宋体" w:eastAsia="宋体" w:cs="宋体"/>
          <w:color w:val="000000" w:themeColor="text1"/>
          <w:sz w:val="24"/>
          <w:szCs w:val="24"/>
          <w:highlight w:val="none"/>
          <w14:textFill>
            <w14:solidFill>
              <w14:schemeClr w14:val="tx1"/>
            </w14:solidFill>
          </w14:textFill>
        </w:rPr>
        <w:t>；</w:t>
      </w:r>
    </w:p>
    <w:p w14:paraId="32AD573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书面文件 </w:t>
      </w:r>
      <w:r>
        <w:rPr>
          <w:rFonts w:hint="eastAsia" w:ascii="宋体" w:hAnsi="宋体" w:eastAsia="宋体" w:cs="宋体"/>
          <w:color w:val="000000" w:themeColor="text1"/>
          <w:sz w:val="24"/>
          <w:szCs w:val="24"/>
          <w:highlight w:val="none"/>
          <w14:textFill>
            <w14:solidFill>
              <w14:schemeClr w14:val="tx1"/>
            </w14:solidFill>
          </w14:textFill>
        </w:rPr>
        <w:t>；</w:t>
      </w:r>
    </w:p>
    <w:p w14:paraId="4A68EFB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收到书面文件后7日内  </w:t>
      </w:r>
      <w:r>
        <w:rPr>
          <w:rFonts w:hint="eastAsia" w:ascii="宋体" w:hAnsi="宋体" w:eastAsia="宋体" w:cs="宋体"/>
          <w:color w:val="000000" w:themeColor="text1"/>
          <w:sz w:val="24"/>
          <w:szCs w:val="24"/>
          <w:highlight w:val="none"/>
          <w14:textFill>
            <w14:solidFill>
              <w14:schemeClr w14:val="tx1"/>
            </w14:solidFill>
          </w14:textFill>
        </w:rPr>
        <w:t>。</w:t>
      </w:r>
    </w:p>
    <w:p w14:paraId="6602B3E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 现场图纸准备</w:t>
      </w:r>
    </w:p>
    <w:p w14:paraId="6650483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承包人应在施工现场保留一套完整图纸，供工程师及有关人员进行工程检查时使用</w:t>
      </w:r>
      <w:r>
        <w:rPr>
          <w:rFonts w:hint="eastAsia" w:ascii="宋体" w:hAnsi="宋体" w:eastAsia="宋体" w:cs="宋体"/>
          <w:color w:val="000000" w:themeColor="text1"/>
          <w:sz w:val="24"/>
          <w:szCs w:val="24"/>
          <w:highlight w:val="none"/>
          <w14:textFill>
            <w14:solidFill>
              <w14:schemeClr w14:val="tx1"/>
            </w14:solidFill>
          </w14:textFill>
        </w:rPr>
        <w:t>。</w:t>
      </w:r>
    </w:p>
    <w:p w14:paraId="0060C80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5406840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1D94D5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1.7.2 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施工现场业主办公室</w:t>
      </w:r>
      <w:r>
        <w:rPr>
          <w:rFonts w:hint="eastAsia" w:ascii="宋体" w:hAnsi="宋体" w:eastAsia="宋体" w:cs="宋体"/>
          <w:color w:val="000000" w:themeColor="text1"/>
          <w:sz w:val="24"/>
          <w:szCs w:val="24"/>
          <w:highlight w:val="none"/>
          <w14:textFill>
            <w14:solidFill>
              <w14:schemeClr w14:val="tx1"/>
            </w14:solidFill>
          </w14:textFill>
        </w:rPr>
        <w:t>；</w:t>
      </w:r>
    </w:p>
    <w:p w14:paraId="0ED783F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596F9B9">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项目部办公室</w:t>
      </w:r>
      <w:r>
        <w:rPr>
          <w:rFonts w:hint="eastAsia" w:ascii="宋体" w:hAnsi="宋体" w:eastAsia="宋体" w:cs="宋体"/>
          <w:color w:val="000000" w:themeColor="text1"/>
          <w:sz w:val="24"/>
          <w:szCs w:val="24"/>
          <w:highlight w:val="none"/>
          <w14:textFill>
            <w14:solidFill>
              <w14:schemeClr w14:val="tx1"/>
            </w14:solidFill>
          </w14:textFill>
        </w:rPr>
        <w:t>；</w:t>
      </w:r>
    </w:p>
    <w:p w14:paraId="261D46B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32D787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 交通运输</w:t>
      </w:r>
    </w:p>
    <w:p w14:paraId="1761CA0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 出入现场的权利</w:t>
      </w:r>
    </w:p>
    <w:p w14:paraId="3359410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由承包人统一管理 </w:t>
      </w:r>
      <w:r>
        <w:rPr>
          <w:rFonts w:hint="eastAsia" w:ascii="宋体" w:hAnsi="宋体" w:eastAsia="宋体" w:cs="宋体"/>
          <w:color w:val="000000" w:themeColor="text1"/>
          <w:sz w:val="24"/>
          <w:szCs w:val="24"/>
          <w:highlight w:val="none"/>
          <w14:textFill>
            <w14:solidFill>
              <w14:schemeClr w14:val="tx1"/>
            </w14:solidFill>
          </w14:textFill>
        </w:rPr>
        <w:t>。</w:t>
      </w:r>
    </w:p>
    <w:p w14:paraId="7A6366F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 场内交通</w:t>
      </w:r>
    </w:p>
    <w:p w14:paraId="199A393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5CFC2D2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现状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10B9771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1.10.4超大件和超重件的运输</w:t>
      </w:r>
    </w:p>
    <w:p w14:paraId="5343566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 </w:t>
      </w:r>
      <w:r>
        <w:rPr>
          <w:rFonts w:hint="eastAsia" w:ascii="宋体" w:hAnsi="宋体" w:eastAsia="宋体" w:cs="宋体"/>
          <w:color w:val="000000" w:themeColor="text1"/>
          <w:sz w:val="24"/>
          <w:szCs w:val="24"/>
          <w:highlight w:val="none"/>
          <w14:textFill>
            <w14:solidFill>
              <w14:schemeClr w14:val="tx1"/>
            </w14:solidFill>
          </w14:textFill>
        </w:rPr>
        <w:t>承担。</w:t>
      </w:r>
    </w:p>
    <w:p w14:paraId="3B892E8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知识产权</w:t>
      </w:r>
    </w:p>
    <w:p w14:paraId="615B00B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发包人</w:t>
      </w:r>
      <w:r>
        <w:rPr>
          <w:rFonts w:hint="eastAsia" w:ascii="宋体" w:hAnsi="宋体" w:eastAsia="宋体" w:cs="宋体"/>
          <w:color w:val="000000" w:themeColor="text1"/>
          <w:sz w:val="24"/>
          <w:szCs w:val="24"/>
          <w:highlight w:val="none"/>
          <w14:textFill>
            <w14:solidFill>
              <w14:schemeClr w14:val="tx1"/>
            </w14:solidFill>
          </w14:textFill>
        </w:rPr>
        <w:t>。</w:t>
      </w:r>
    </w:p>
    <w:p w14:paraId="1ED5083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适用本工程、严禁外流。</w:t>
      </w:r>
    </w:p>
    <w:p w14:paraId="15FBEE0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发包人。</w:t>
      </w:r>
    </w:p>
    <w:p w14:paraId="24F6437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适用本工程、严禁外流。</w:t>
      </w:r>
    </w:p>
    <w:p w14:paraId="526ED90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36178FF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2A84A0B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A3614A0">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允许调整合同价格的工程量偏差范围： </w:t>
      </w:r>
    </w:p>
    <w:p w14:paraId="1314C954">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1.13.1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231ECFC8">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1.13.2、若施工中出现施工图纸（含设计变更）与工程量清单项目特征描述不符，应及时上报招标人，按照招标人确认的最终方案进行施工。</w:t>
      </w:r>
    </w:p>
    <w:p w14:paraId="41321060">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1.13.3、因分部分项工程量清单漏项、项目特征不符或非承包人原因的工程变更，造成增加新的工程量清单项目，其对应的综合单价按下列方法确定：</w:t>
      </w:r>
    </w:p>
    <w:p w14:paraId="33A16F98">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（1）已标价工程量清单中有适用于工程变更项目的，应采用该项目的单价；但当工程变更导致该清单项目的工程数量发生变化，且工程量偏差超过15%时，该项目单价应按照以下规定调整：</w:t>
      </w:r>
    </w:p>
    <w:p w14:paraId="52C4ADB9">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当工程量减少15%以上时，该工程量的综合单价保持不变；当工程量增加15%以上时，增加部分的工程量的综合单价应予调低；具体调整办法参照（3）（4）条。 </w:t>
      </w:r>
    </w:p>
    <w:p w14:paraId="6437ACA1">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（2）已标价工程量清单中没有适用但有类似于工程变更项目的，可在合理范围内参照类似项目的单价；</w:t>
      </w:r>
    </w:p>
    <w:p w14:paraId="5A3B37E3">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78568D5D">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6CD8C2D2">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1027BCFB">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①安全文明施工费应按照实际发生变化的措施项目执行《省住房和城乡建设厅关于实施安全文明施工措施费动态计价管理的公告》[2020]第11号文规定计取；</w:t>
      </w:r>
    </w:p>
    <w:p w14:paraId="3B89BAD4">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②采用单价计算的措施项目费，按照实际发生变化措施项目，按照上述（1）、（2）、（3）、（4）条确定单价，工程量按实计算；</w:t>
      </w:r>
    </w:p>
    <w:p w14:paraId="1D7DD11C">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③按总价计算的措施项目费，以项为单位的包干使用。</w:t>
      </w:r>
    </w:p>
    <w:p w14:paraId="0D857AFD">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④采用费率计算的措施项目费，以原计算基数按实调整。</w:t>
      </w:r>
    </w:p>
    <w:p w14:paraId="796C67F5">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如果承包人未事先将拟实施方案提交给发包人确认，则应视为工程变更不引起措施项目费的调整或承包人放弃调整措施项目费的权利；</w:t>
      </w:r>
    </w:p>
    <w:p w14:paraId="449B9439">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228A734B">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 发包人</w:t>
      </w:r>
    </w:p>
    <w:p w14:paraId="04EA9EA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4F825EE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4000AFA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066DC5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51067D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    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00F215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894785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F2A577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CFEC69B">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对工程进行全面监督、审批提交的报告、协调外部关系以保证工程顺利进行；检查、督促施工单位现场工作；组织协调施工现场与工程相关部门的工作，业主指令的下达、相关问题的处理。</w:t>
      </w:r>
    </w:p>
    <w:p w14:paraId="0547BF4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4C7B5FA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 提供施工现场</w:t>
      </w:r>
    </w:p>
    <w:p w14:paraId="7486DE7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sz w:val="24"/>
          <w:szCs w:val="24"/>
          <w:highlight w:val="none"/>
          <w:u w:val="single"/>
          <w14:textFill>
            <w14:solidFill>
              <w14:schemeClr w14:val="tx1"/>
            </w14:solidFill>
          </w14:textFill>
        </w:rPr>
        <w:t>已具备</w:t>
      </w:r>
      <w:r>
        <w:rPr>
          <w:rFonts w:hint="eastAsia" w:ascii="宋体" w:hAnsi="宋体" w:eastAsia="宋体" w:cs="宋体"/>
          <w:color w:val="000000" w:themeColor="text1"/>
          <w:sz w:val="24"/>
          <w:szCs w:val="24"/>
          <w:highlight w:val="none"/>
          <w14:textFill>
            <w14:solidFill>
              <w14:schemeClr w14:val="tx1"/>
            </w14:solidFill>
          </w14:textFill>
        </w:rPr>
        <w:t>。</w:t>
      </w:r>
    </w:p>
    <w:p w14:paraId="5361D99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 提供施工条件</w:t>
      </w:r>
    </w:p>
    <w:p w14:paraId="2722898D">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发包人提供水、电源接口，承包人将水、电接至施工场地，费用由承包人自理。</w:t>
      </w:r>
    </w:p>
    <w:p w14:paraId="27E76AE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04AE7DD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2F2DA07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不提供</w:t>
      </w:r>
      <w:r>
        <w:rPr>
          <w:rFonts w:hint="eastAsia" w:ascii="宋体" w:hAnsi="宋体" w:eastAsia="宋体" w:cs="宋体"/>
          <w:color w:val="000000" w:themeColor="text1"/>
          <w:sz w:val="24"/>
          <w:szCs w:val="24"/>
          <w:highlight w:val="none"/>
          <w14:textFill>
            <w14:solidFill>
              <w14:schemeClr w14:val="tx1"/>
            </w14:solidFill>
          </w14:textFill>
        </w:rPr>
        <w:t>。</w:t>
      </w:r>
    </w:p>
    <w:p w14:paraId="08D268B6">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 承包人</w:t>
      </w:r>
    </w:p>
    <w:p w14:paraId="5E41D47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5CAE082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（1）办理法律规定应由承包人办理的许可和批准，并将办理结果书面报送发包人留存；</w:t>
      </w:r>
    </w:p>
    <w:p w14:paraId="67F2385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（2）按法律规定和合同约定完成工程，并在保修期内承担保修义务；</w:t>
      </w:r>
    </w:p>
    <w:p w14:paraId="0E8DF71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063D457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4EFD803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55B048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创建连云港市资源节约和环保型工地（连建质[2006]647号），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p>
    <w:p w14:paraId="2AF90ED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themeColor="text1"/>
          <w:sz w:val="24"/>
          <w:szCs w:val="24"/>
          <w:highlight w:val="none"/>
          <w14:textFill>
            <w14:solidFill>
              <w14:schemeClr w14:val="tx1"/>
            </w14:solidFill>
          </w14:textFill>
        </w:rPr>
        <w:t>。</w:t>
      </w:r>
    </w:p>
    <w:p w14:paraId="50E5E39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153D8B72">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竣工验收资料、竣工图、完整的竣工结算资料和竣工结算书。</w:t>
      </w:r>
    </w:p>
    <w:p w14:paraId="79AA0AC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叁套 </w:t>
      </w:r>
      <w:r>
        <w:rPr>
          <w:rFonts w:hint="eastAsia" w:ascii="宋体" w:hAnsi="宋体" w:eastAsia="宋体" w:cs="宋体"/>
          <w:b/>
          <w:color w:val="000000" w:themeColor="text1"/>
          <w:sz w:val="24"/>
          <w:szCs w:val="24"/>
          <w:highlight w:val="none"/>
          <w14:textFill>
            <w14:solidFill>
              <w14:schemeClr w14:val="tx1"/>
            </w14:solidFill>
          </w14:textFill>
        </w:rPr>
        <w:t>。</w:t>
      </w:r>
    </w:p>
    <w:p w14:paraId="4EFA463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35491B25">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w:t>
      </w:r>
    </w:p>
    <w:p w14:paraId="3EA9C2A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书面  </w:t>
      </w:r>
      <w:r>
        <w:rPr>
          <w:rFonts w:hint="eastAsia" w:ascii="宋体" w:hAnsi="宋体" w:eastAsia="宋体" w:cs="宋体"/>
          <w:color w:val="000000" w:themeColor="text1"/>
          <w:sz w:val="24"/>
          <w:szCs w:val="24"/>
          <w:highlight w:val="none"/>
          <w14:textFill>
            <w14:solidFill>
              <w14:schemeClr w14:val="tx1"/>
            </w14:solidFill>
          </w14:textFill>
        </w:rPr>
        <w:t>。</w:t>
      </w:r>
    </w:p>
    <w:p w14:paraId="544C077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做好邻近设备、管线的保护工作，其费用由承包人在投标报价中自行考虑。因承包人的责任造成的财产和人身损失，由承包人承担费用。</w:t>
      </w:r>
    </w:p>
    <w:p w14:paraId="5C64B26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项目经理</w:t>
      </w:r>
    </w:p>
    <w:p w14:paraId="76D6203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 项目经理：</w:t>
      </w:r>
    </w:p>
    <w:p w14:paraId="5177A30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8144C8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A38F37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596BEA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28E3AA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09B05E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84A1E7F">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b/>
          <w:color w:val="000000" w:themeColor="text1"/>
          <w:sz w:val="24"/>
          <w:szCs w:val="24"/>
          <w:highlight w:val="none"/>
          <w:u w:val="single"/>
          <w14:textFill>
            <w14:solidFill>
              <w14:schemeClr w14:val="tx1"/>
            </w14:solidFill>
          </w14:textFill>
        </w:rPr>
        <w:t>发包人扣除承包人的全部履约保证金，同时要求承包人更换项目经理，且更换后的项目经理资质等级、业绩不低于原项目经理，否则解除施工合同。</w:t>
      </w:r>
    </w:p>
    <w:p w14:paraId="11F3C546">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3.2.2 承包人擅自更换项目经理的违约责任：</w:t>
      </w:r>
      <w:r>
        <w:rPr>
          <w:rFonts w:hint="eastAsia" w:ascii="宋体" w:hAnsi="宋体" w:eastAsia="宋体" w:cs="宋体"/>
          <w:b/>
          <w:color w:val="000000" w:themeColor="text1"/>
          <w:sz w:val="24"/>
          <w:szCs w:val="24"/>
          <w:highlight w:val="none"/>
          <w:u w:val="single"/>
          <w14:textFill>
            <w14:solidFill>
              <w14:schemeClr w14:val="tx1"/>
            </w14:solidFill>
          </w14:textFill>
        </w:rPr>
        <w:t>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b/>
          <w:color w:val="000000" w:themeColor="text1"/>
          <w:sz w:val="24"/>
          <w:szCs w:val="24"/>
          <w:highlight w:val="none"/>
          <w14:textFill>
            <w14:solidFill>
              <w14:schemeClr w14:val="tx1"/>
            </w14:solidFill>
          </w14:textFill>
        </w:rPr>
        <w:t>。</w:t>
      </w:r>
    </w:p>
    <w:p w14:paraId="6AC642C8">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3.2.3 承包人无正当理由拒绝更换项目经理的违约责任：</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扣除承包人的全部履约保证金并解除施工合同 </w:t>
      </w:r>
      <w:r>
        <w:rPr>
          <w:rFonts w:hint="eastAsia" w:ascii="宋体" w:hAnsi="宋体" w:eastAsia="宋体" w:cs="宋体"/>
          <w:b/>
          <w:color w:val="000000" w:themeColor="text1"/>
          <w:sz w:val="24"/>
          <w:szCs w:val="24"/>
          <w:highlight w:val="none"/>
          <w14:textFill>
            <w14:solidFill>
              <w14:schemeClr w14:val="tx1"/>
            </w14:solidFill>
          </w14:textFill>
        </w:rPr>
        <w:t>。</w:t>
      </w:r>
    </w:p>
    <w:p w14:paraId="3CD7033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3.3项目管理团队</w:t>
      </w:r>
    </w:p>
    <w:p w14:paraId="42CE304D">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技术负责人：</w:t>
      </w:r>
    </w:p>
    <w:p w14:paraId="7E7F639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F3DAD9B">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施工员：</w:t>
      </w:r>
    </w:p>
    <w:p w14:paraId="6FB9C30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19E30AE">
      <w:pPr>
        <w:spacing w:line="360" w:lineRule="auto"/>
        <w:ind w:firstLine="482"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质量员</w:t>
      </w:r>
      <w:r>
        <w:rPr>
          <w:rFonts w:hint="eastAsia" w:ascii="宋体" w:hAnsi="宋体" w:eastAsia="宋体" w:cs="宋体"/>
          <w:color w:val="000000" w:themeColor="text1"/>
          <w:sz w:val="24"/>
          <w:szCs w:val="24"/>
          <w:highlight w:val="none"/>
          <w14:textFill>
            <w14:solidFill>
              <w14:schemeClr w14:val="tx1"/>
            </w14:solidFill>
          </w14:textFill>
        </w:rPr>
        <w:t>：</w:t>
      </w:r>
    </w:p>
    <w:p w14:paraId="5376236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56B06CA">
      <w:pPr>
        <w:spacing w:line="360" w:lineRule="auto"/>
        <w:ind w:firstLine="482"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安全员</w:t>
      </w:r>
      <w:r>
        <w:rPr>
          <w:rFonts w:hint="eastAsia" w:ascii="宋体" w:hAnsi="宋体" w:eastAsia="宋体" w:cs="宋体"/>
          <w:color w:val="000000" w:themeColor="text1"/>
          <w:sz w:val="24"/>
          <w:szCs w:val="24"/>
          <w:highlight w:val="none"/>
          <w14:textFill>
            <w14:solidFill>
              <w14:schemeClr w14:val="tx1"/>
            </w14:solidFill>
          </w14:textFill>
        </w:rPr>
        <w:t>：</w:t>
      </w:r>
    </w:p>
    <w:p w14:paraId="2BB4E17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967BA8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安全员证书号：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AEB1D7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大中型项目，开工前中标人应在施工现场安装生物识别网络管理系统，招标人依据合同约定条款对项目负责人等项目组成员加强履约管理。</w:t>
      </w:r>
    </w:p>
    <w:p w14:paraId="5681823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接到开工令3天内</w:t>
      </w:r>
      <w:r>
        <w:rPr>
          <w:rFonts w:hint="eastAsia" w:ascii="宋体" w:hAnsi="宋体" w:eastAsia="宋体" w:cs="宋体"/>
          <w:color w:val="000000" w:themeColor="text1"/>
          <w:sz w:val="24"/>
          <w:szCs w:val="24"/>
          <w:highlight w:val="none"/>
          <w14:textFill>
            <w14:solidFill>
              <w14:schemeClr w14:val="tx1"/>
            </w14:solidFill>
          </w14:textFill>
        </w:rPr>
        <w:t>。</w:t>
      </w:r>
    </w:p>
    <w:p w14:paraId="58E24881">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若发包人认为承包人的管理人员、施工人员无法胜任或不能配合发包人工作，发包人有权要求该人员退场，承包人不得以任何理由拒绝，并在发包人规定的时间内用发包人批准的合格的人员代替上述调离的任何人员。</w:t>
      </w:r>
    </w:p>
    <w:p w14:paraId="5A167B37">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应提前1天书面通知发包人，并征得发包人书面同意。</w:t>
      </w:r>
    </w:p>
    <w:p w14:paraId="398B8D3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若承包人不得擅自更换主要施工管理人员，同时要求承包人更换后的主要施工管理人员资质等级、业绩不低于原主要施工管理人员，否则扣除承包人的全部履约保证金 </w:t>
      </w:r>
      <w:r>
        <w:rPr>
          <w:rFonts w:hint="eastAsia" w:ascii="宋体" w:hAnsi="宋体" w:eastAsia="宋体" w:cs="宋体"/>
          <w:color w:val="000000" w:themeColor="text1"/>
          <w:sz w:val="24"/>
          <w:szCs w:val="24"/>
          <w:highlight w:val="none"/>
          <w14:textFill>
            <w14:solidFill>
              <w14:schemeClr w14:val="tx1"/>
            </w14:solidFill>
          </w14:textFill>
        </w:rPr>
        <w:t>。</w:t>
      </w:r>
    </w:p>
    <w:p w14:paraId="5B95F01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分包</w:t>
      </w:r>
    </w:p>
    <w:p w14:paraId="03E5CD8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 分包的一般约定</w:t>
      </w:r>
    </w:p>
    <w:p w14:paraId="1E317A0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工程禁止非法分包</w:t>
      </w:r>
      <w:r>
        <w:rPr>
          <w:rFonts w:hint="eastAsia" w:ascii="宋体" w:hAnsi="宋体" w:eastAsia="宋体" w:cs="宋体"/>
          <w:color w:val="000000" w:themeColor="text1"/>
          <w:sz w:val="24"/>
          <w:szCs w:val="24"/>
          <w:highlight w:val="none"/>
          <w14:textFill>
            <w14:solidFill>
              <w14:schemeClr w14:val="tx1"/>
            </w14:solidFill>
          </w14:textFill>
        </w:rPr>
        <w:t>。</w:t>
      </w:r>
    </w:p>
    <w:p w14:paraId="05EFA51E">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主体结构、关键性工作的范围：</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F5360A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3.5.2分包的确定</w:t>
      </w:r>
    </w:p>
    <w:p w14:paraId="46983FC2">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允许分包的专业工程包括：</w:t>
      </w:r>
      <w:r>
        <w:rPr>
          <w:rFonts w:hint="eastAsia" w:ascii="宋体" w:hAnsi="宋体" w:eastAsia="宋体" w:cs="宋体"/>
          <w:color w:val="000000" w:themeColor="text1"/>
          <w:sz w:val="24"/>
          <w:szCs w:val="24"/>
          <w:highlight w:val="none"/>
          <w:u w:val="single"/>
          <w14:textFill>
            <w14:solidFill>
              <w14:schemeClr w14:val="tx1"/>
            </w14:solidFill>
          </w14:textFill>
        </w:rPr>
        <w:t>招标人有权决定分包内容</w:t>
      </w:r>
      <w:r>
        <w:rPr>
          <w:rFonts w:hint="eastAsia" w:ascii="宋体" w:hAnsi="宋体" w:eastAsia="宋体" w:cs="宋体"/>
          <w:color w:val="000000" w:themeColor="text1"/>
          <w:sz w:val="24"/>
          <w:szCs w:val="24"/>
          <w:highlight w:val="none"/>
          <w14:textFill>
            <w14:solidFill>
              <w14:schemeClr w14:val="tx1"/>
            </w14:solidFill>
          </w14:textFill>
        </w:rPr>
        <w:t>。</w:t>
      </w:r>
    </w:p>
    <w:p w14:paraId="747008C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其他关于分包的约定：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36FD50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3.5.4 分包合同价款</w:t>
      </w:r>
    </w:p>
    <w:p w14:paraId="1A3F4F2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关于分包合同价款支付的约定：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p>
    <w:p w14:paraId="2A78430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 工程照管与成品、半成品保护</w:t>
      </w:r>
    </w:p>
    <w:p w14:paraId="77563A75">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sz w:val="24"/>
          <w:szCs w:val="24"/>
          <w:highlight w:val="none"/>
          <w:u w:val="single"/>
          <w14:textFill>
            <w14:solidFill>
              <w14:schemeClr w14:val="tx1"/>
            </w14:solidFill>
          </w14:textFill>
        </w:rPr>
        <w:t>自发包人向承包人移交施工现场之日起，承包人应负责照管工程及工程相关的材料、工程设备，直到颁发工程接收证书之日止。</w:t>
      </w:r>
    </w:p>
    <w:p w14:paraId="756C09E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履约担保</w:t>
      </w:r>
    </w:p>
    <w:p w14:paraId="3908F04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不提供</w:t>
      </w:r>
      <w:r>
        <w:rPr>
          <w:rFonts w:hint="eastAsia" w:ascii="宋体" w:hAnsi="宋体" w:eastAsia="宋体" w:cs="宋体"/>
          <w:color w:val="000000" w:themeColor="text1"/>
          <w:sz w:val="24"/>
          <w:szCs w:val="24"/>
          <w:highlight w:val="none"/>
          <w14:textFill>
            <w14:solidFill>
              <w14:schemeClr w14:val="tx1"/>
            </w14:solidFill>
          </w14:textFill>
        </w:rPr>
        <w:t>。</w:t>
      </w:r>
    </w:p>
    <w:p w14:paraId="1C98690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商定或确定</w:t>
      </w:r>
    </w:p>
    <w:p w14:paraId="5DB1F75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在发包人和承包人不能通过协商达成一致意见时，发包人对以下事项进行确定：</w:t>
      </w:r>
      <w:r>
        <w:rPr>
          <w:rFonts w:hint="eastAsia" w:ascii="宋体" w:hAnsi="宋体" w:eastAsia="宋体" w:cs="宋体"/>
          <w:color w:val="000000" w:themeColor="text1"/>
          <w:sz w:val="24"/>
          <w:szCs w:val="24"/>
          <w:highlight w:val="none"/>
          <w:u w:val="single"/>
          <w14:textFill>
            <w14:solidFill>
              <w14:schemeClr w14:val="tx1"/>
            </w14:solidFill>
          </w14:textFill>
        </w:rPr>
        <w:t>无 。</w:t>
      </w:r>
    </w:p>
    <w:p w14:paraId="3C4064ED">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 工程质量</w:t>
      </w:r>
    </w:p>
    <w:p w14:paraId="61576E3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24792DA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 特殊质量标准和要求：</w:t>
      </w:r>
      <w:r>
        <w:rPr>
          <w:rFonts w:hint="eastAsia" w:ascii="宋体" w:hAnsi="宋体" w:eastAsia="宋体" w:cs="宋体"/>
          <w:b/>
          <w:color w:val="000000" w:themeColor="text1"/>
          <w:sz w:val="24"/>
          <w:szCs w:val="24"/>
          <w:highlight w:val="none"/>
          <w:u w:val="single"/>
          <w14:textFill>
            <w14:solidFill>
              <w14:schemeClr w14:val="tx1"/>
            </w14:solidFill>
          </w14:textFill>
        </w:rPr>
        <w:t>等级为合格</w:t>
      </w:r>
      <w:r>
        <w:rPr>
          <w:rFonts w:hint="eastAsia" w:ascii="宋体" w:hAnsi="宋体" w:eastAsia="宋体" w:cs="宋体"/>
          <w:color w:val="000000" w:themeColor="text1"/>
          <w:sz w:val="24"/>
          <w:szCs w:val="24"/>
          <w:highlight w:val="none"/>
          <w14:textFill>
            <w14:solidFill>
              <w14:schemeClr w14:val="tx1"/>
            </w14:solidFill>
          </w14:textFill>
        </w:rPr>
        <w:t>。</w:t>
      </w:r>
    </w:p>
    <w:p w14:paraId="087E869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5E313DB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09FE0B2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承包人提前通知发包人隐蔽工程检查的期限的约定：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承包人在检查前12小时以书面形式通知发包人 </w:t>
      </w:r>
      <w:r>
        <w:rPr>
          <w:rFonts w:hint="eastAsia" w:ascii="宋体" w:hAnsi="宋体" w:eastAsia="宋体" w:cs="宋体"/>
          <w:color w:val="000000" w:themeColor="text1"/>
          <w:sz w:val="24"/>
          <w:szCs w:val="24"/>
          <w:highlight w:val="none"/>
          <w14:textFill>
            <w14:solidFill>
              <w14:schemeClr w14:val="tx1"/>
            </w14:solidFill>
          </w14:textFill>
        </w:rPr>
        <w:t>。</w:t>
      </w:r>
    </w:p>
    <w:p w14:paraId="210760E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3413D38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小时。</w:t>
      </w:r>
    </w:p>
    <w:p w14:paraId="1458A595">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 安全文明施工与环境保护</w:t>
      </w:r>
    </w:p>
    <w:p w14:paraId="0522FF4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33D7BB8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 项目安全生产的达标目标及相应事项的约定：。</w:t>
      </w:r>
    </w:p>
    <w:p w14:paraId="6705673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见通用条款</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BC7FA57">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58C17F61">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保持场地整洁卫生，因为违纪行为发生的清理处罚费用由承包人承担，保证工完料清，并保证工地周围环境整洁。同时，遵守发包人的其它有关管理要求。费用已含在投标报价内。</w:t>
      </w:r>
    </w:p>
    <w:p w14:paraId="4E2076E3">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2BB465A7">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 工期和进度</w:t>
      </w:r>
    </w:p>
    <w:p w14:paraId="4C2C868C">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7.1 施工组织设计</w:t>
      </w:r>
    </w:p>
    <w:p w14:paraId="6EA91D6F">
      <w:pPr>
        <w:widowControl/>
        <w:shd w:val="clear" w:color="auto" w:fill="FFFFFF"/>
        <w:spacing w:line="360" w:lineRule="auto"/>
        <w:ind w:firstLine="480"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w:t>
      </w:r>
      <w:r>
        <w:rPr>
          <w:rFonts w:hint="eastAsia" w:ascii="宋体" w:hAnsi="宋体" w:eastAsia="宋体" w:cs="宋体"/>
          <w:b/>
          <w:color w:val="000000" w:themeColor="text1"/>
          <w:sz w:val="24"/>
          <w:szCs w:val="24"/>
          <w:highlight w:val="none"/>
          <w14:textFill>
            <w14:solidFill>
              <w14:schemeClr w14:val="tx1"/>
            </w14:solidFill>
          </w14:textFill>
        </w:rPr>
        <w:t>合同当事人约定的施工组织设计应包括的内容：</w:t>
      </w:r>
    </w:p>
    <w:p w14:paraId="7A748D1D">
      <w:pPr>
        <w:widowControl/>
        <w:shd w:val="clear" w:color="auto" w:fill="FFFFFF"/>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（1）总体概述：施工组织总体设想、方案针对性；</w:t>
      </w:r>
    </w:p>
    <w:p w14:paraId="250419FE">
      <w:pPr>
        <w:widowControl/>
        <w:shd w:val="clear" w:color="auto" w:fill="FFFFFF"/>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（2）施工质量保证措施；</w:t>
      </w:r>
    </w:p>
    <w:p w14:paraId="4C1D4FCF">
      <w:pPr>
        <w:widowControl/>
        <w:shd w:val="clear" w:color="auto" w:fill="FFFFFF"/>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（3）施工进度计划和各阶段进度的保证措施；</w:t>
      </w:r>
    </w:p>
    <w:p w14:paraId="7D10BD4B">
      <w:pPr>
        <w:widowControl/>
        <w:shd w:val="clear" w:color="auto" w:fill="FFFFFF"/>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（4）劳动力、机械设备和材料投入计划；</w:t>
      </w:r>
    </w:p>
    <w:p w14:paraId="68FC19B0">
      <w:pPr>
        <w:widowControl/>
        <w:shd w:val="clear" w:color="auto" w:fill="FFFFFF"/>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（5）重点、难点及合理化建议；</w:t>
      </w:r>
    </w:p>
    <w:p w14:paraId="3923B06B">
      <w:pPr>
        <w:widowControl/>
        <w:shd w:val="clear" w:color="auto" w:fill="FFFFFF"/>
        <w:spacing w:line="360" w:lineRule="auto"/>
        <w:ind w:firstLine="482"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投标人应保证一旦中标，在施工组织设计中列明的人员应确保参加工程的实施，列明的机具应保证工程随时调用，否则承担违约责任。</w:t>
      </w:r>
    </w:p>
    <w:p w14:paraId="386582B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 施工组织设计的提交和修改</w:t>
      </w:r>
    </w:p>
    <w:p w14:paraId="6A50437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合同签订后3日内 </w:t>
      </w:r>
      <w:r>
        <w:rPr>
          <w:rFonts w:hint="eastAsia" w:ascii="宋体" w:hAnsi="宋体" w:eastAsia="宋体" w:cs="宋体"/>
          <w:color w:val="000000" w:themeColor="text1"/>
          <w:sz w:val="24"/>
          <w:szCs w:val="24"/>
          <w:highlight w:val="none"/>
          <w14:textFill>
            <w14:solidFill>
              <w14:schemeClr w14:val="tx1"/>
            </w14:solidFill>
          </w14:textFill>
        </w:rPr>
        <w:t>。</w:t>
      </w:r>
    </w:p>
    <w:p w14:paraId="424188C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收到施工组织设计后5天内 </w:t>
      </w:r>
      <w:r>
        <w:rPr>
          <w:rFonts w:hint="eastAsia" w:ascii="宋体" w:hAnsi="宋体" w:eastAsia="宋体" w:cs="宋体"/>
          <w:color w:val="000000" w:themeColor="text1"/>
          <w:sz w:val="24"/>
          <w:szCs w:val="24"/>
          <w:highlight w:val="none"/>
          <w14:textFill>
            <w14:solidFill>
              <w14:schemeClr w14:val="tx1"/>
            </w14:solidFill>
          </w14:textFill>
        </w:rPr>
        <w:t>。</w:t>
      </w:r>
    </w:p>
    <w:p w14:paraId="6994582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施工进度计划</w:t>
      </w:r>
    </w:p>
    <w:p w14:paraId="19A4EE5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61C90A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收到修订的施工进度计划后5天内</w:t>
      </w:r>
      <w:r>
        <w:rPr>
          <w:rFonts w:hint="eastAsia" w:ascii="宋体" w:hAnsi="宋体" w:eastAsia="宋体" w:cs="宋体"/>
          <w:color w:val="000000" w:themeColor="text1"/>
          <w:sz w:val="24"/>
          <w:szCs w:val="24"/>
          <w:highlight w:val="none"/>
          <w14:textFill>
            <w14:solidFill>
              <w14:schemeClr w14:val="tx1"/>
            </w14:solidFill>
          </w14:textFill>
        </w:rPr>
        <w:t>。</w:t>
      </w:r>
    </w:p>
    <w:p w14:paraId="20C65F8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5ED2653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02A0813A">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合同签订后7日内 </w:t>
      </w:r>
      <w:r>
        <w:rPr>
          <w:rFonts w:hint="eastAsia" w:ascii="宋体" w:hAnsi="宋体" w:eastAsia="宋体" w:cs="宋体"/>
          <w:color w:val="000000" w:themeColor="text1"/>
          <w:sz w:val="24"/>
          <w:szCs w:val="24"/>
          <w:highlight w:val="none"/>
          <w14:textFill>
            <w14:solidFill>
              <w14:schemeClr w14:val="tx1"/>
            </w14:solidFill>
          </w14:textFill>
        </w:rPr>
        <w:t>。</w:t>
      </w:r>
    </w:p>
    <w:p w14:paraId="4B209FE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p>
    <w:p w14:paraId="66520872">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p>
    <w:p w14:paraId="1F24EE17">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3E22DD1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180</w:t>
      </w:r>
      <w:r>
        <w:rPr>
          <w:rFonts w:hint="eastAsia" w:ascii="宋体" w:hAnsi="宋体" w:eastAsia="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5C0D6D6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工期延误</w:t>
      </w:r>
    </w:p>
    <w:p w14:paraId="24CC112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 因发包人原因导致工期延误</w:t>
      </w:r>
    </w:p>
    <w:p w14:paraId="58BD58C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3A0946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7.4.2 因承包人原因导致工期延误</w:t>
      </w:r>
    </w:p>
    <w:p w14:paraId="40D9E49E">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因承包人原因造成工期延误，逾期竣工违约金的计算方法为：</w:t>
      </w:r>
    </w:p>
    <w:p w14:paraId="39D59D6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eastAsia="宋体" w:cs="宋体"/>
          <w:b/>
          <w:color w:val="000000" w:themeColor="text1"/>
          <w:sz w:val="24"/>
          <w:szCs w:val="24"/>
          <w:highlight w:val="none"/>
          <w:u w:val="single"/>
          <w14:textFill>
            <w14:solidFill>
              <w14:schemeClr w14:val="tx1"/>
            </w14:solidFill>
          </w14:textFill>
        </w:rPr>
        <w:t>合同价的2%</w:t>
      </w:r>
      <w:r>
        <w:rPr>
          <w:rFonts w:hint="eastAsia" w:ascii="宋体" w:hAnsi="宋体" w:eastAsia="宋体" w:cs="宋体"/>
          <w:color w:val="000000" w:themeColor="text1"/>
          <w:sz w:val="24"/>
          <w:szCs w:val="24"/>
          <w:highlight w:val="none"/>
          <w14:textFill>
            <w14:solidFill>
              <w14:schemeClr w14:val="tx1"/>
            </w14:solidFill>
          </w14:textFill>
        </w:rPr>
        <w:t>。</w:t>
      </w:r>
    </w:p>
    <w:p w14:paraId="6D8D157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不利物质条件</w:t>
      </w:r>
    </w:p>
    <w:p w14:paraId="03F1CE5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498C7F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7.6异常恶劣的气候条件</w:t>
      </w:r>
    </w:p>
    <w:p w14:paraId="3D33C93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74121FF3">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日降雨量大于50mm的雨日超过1天；</w:t>
      </w:r>
    </w:p>
    <w:p w14:paraId="0D5E37C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6级以上台风灾害；</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u w:val="single"/>
          <w14:textFill>
            <w14:solidFill>
              <w14:schemeClr w14:val="tx1"/>
            </w14:solidFill>
          </w14:textFill>
        </w:rPr>
        <w:t>日气温超过38℃ 的高温大于3天；</w:t>
      </w:r>
      <w:r>
        <w:rPr>
          <w:rFonts w:hint="eastAsia" w:ascii="宋体" w:hAnsi="宋体" w:eastAsia="宋体" w:cs="宋体"/>
          <w:color w:val="000000" w:themeColor="text1"/>
          <w:sz w:val="24"/>
          <w:szCs w:val="24"/>
          <w:highlight w:val="none"/>
          <w:u w:val="singl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u w:val="single"/>
          <w14:textFill>
            <w14:solidFill>
              <w14:schemeClr w14:val="tx1"/>
            </w14:solidFill>
          </w14:textFill>
        </w:rPr>
        <w:t>日气温低于-20℃的严寒大于3天；</w:t>
      </w:r>
      <w:r>
        <w:rPr>
          <w:rFonts w:hint="eastAsia" w:ascii="宋体" w:hAnsi="宋体" w:eastAsia="宋体" w:cs="宋体"/>
          <w:color w:val="000000" w:themeColor="text1"/>
          <w:sz w:val="24"/>
          <w:szCs w:val="24"/>
          <w:highlight w:val="none"/>
          <w:u w:val="singl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u w:val="single"/>
          <w14:textFill>
            <w14:solidFill>
              <w14:schemeClr w14:val="tx1"/>
            </w14:solidFill>
          </w14:textFill>
        </w:rPr>
        <w:t>造成工程损坏的冰雹和大雪灾害：日降雪量10mm及以上；</w:t>
      </w:r>
    </w:p>
    <w:p w14:paraId="2311886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提前竣工的奖励</w:t>
      </w:r>
    </w:p>
    <w:p w14:paraId="719E0867">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7.6.1提前竣工的奖励：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30F3263">
      <w:pPr>
        <w:spacing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 材料与设备</w:t>
      </w:r>
    </w:p>
    <w:p w14:paraId="640C2769">
      <w:pPr>
        <w:spacing w:line="360" w:lineRule="auto"/>
        <w:ind w:firstLine="480" w:firstLineChars="200"/>
        <w:outlineLvl w:val="4"/>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8.2承包人采购材料与工程设备</w:t>
      </w:r>
    </w:p>
    <w:p w14:paraId="7C1A4E9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2957FBE">
      <w:pPr>
        <w:spacing w:line="360" w:lineRule="auto"/>
        <w:ind w:firstLine="480" w:firstLineChars="200"/>
        <w:jc w:val="lef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8.3材料与工程设备的接收与拒收</w:t>
      </w:r>
    </w:p>
    <w:p w14:paraId="7400200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8.3.2 承包人采购的材料和工程设备，应保证产品质量合格，承包人应在材料和工程设备到货前24小时通知发包人检验。承包人进行永久设备、材料的制造和生产的，应符合相关质量标准，并向发包人提交材料的样本以及有关资料，并应在使用该材料或工程设备之前获得发包人同意。</w:t>
      </w:r>
    </w:p>
    <w:p w14:paraId="5FAFBB1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采购的材料和工程设备不符合设计或有关标准要求时，承包人应在发包人要求的合理期限内将不符合设计或有关标准要求的材料、工程设备运出施工现场，并重新采购符合要求的材料、工程设备，由此增加的费用和（或）延误的工期，由承包人承担。</w:t>
      </w:r>
    </w:p>
    <w:p w14:paraId="7880598C">
      <w:pPr>
        <w:spacing w:line="360" w:lineRule="auto"/>
        <w:ind w:firstLine="480" w:firstLineChars="200"/>
        <w:outlineLvl w:val="4"/>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8.4材料与工程设备的保管与使用</w:t>
      </w:r>
    </w:p>
    <w:p w14:paraId="33DB5068">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8.4.1 发包人供应材料与工程设备的保管与使用：</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463A338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8.4.2 承包人采购材料与工程设备的保管与使用：</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04462A4A">
      <w:pPr>
        <w:spacing w:line="360" w:lineRule="auto"/>
        <w:ind w:firstLine="480" w:firstLineChars="200"/>
        <w:outlineLvl w:val="4"/>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8.5禁止使用不合格的材料和工程设备：</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3FED2539">
      <w:pPr>
        <w:spacing w:line="360" w:lineRule="auto"/>
        <w:ind w:firstLine="480" w:firstLineChars="200"/>
        <w:outlineLvl w:val="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8.6 样品</w:t>
      </w:r>
    </w:p>
    <w:p w14:paraId="2719D88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8.6.1</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样品的报送与封存</w:t>
      </w:r>
    </w:p>
    <w:p w14:paraId="71BDF6E6">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需要承包人报送样品的材料或工程设备，样品的种类、名称、规格、数量要求：。</w:t>
      </w:r>
    </w:p>
    <w:p w14:paraId="0AB1033F">
      <w:pPr>
        <w:spacing w:line="360" w:lineRule="auto"/>
        <w:ind w:firstLine="480" w:firstLineChars="200"/>
        <w:outlineLvl w:val="4"/>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8.7材料与工程设备的替代：</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2E854886">
      <w:pPr>
        <w:spacing w:line="360" w:lineRule="auto"/>
        <w:ind w:firstLine="480" w:firstLineChars="200"/>
        <w:outlineLvl w:val="4"/>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8.8施工设备和临时设施：</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p>
    <w:p w14:paraId="125EB438">
      <w:pPr>
        <w:spacing w:line="360" w:lineRule="auto"/>
        <w:ind w:firstLine="480" w:firstLineChars="200"/>
        <w:outlineLvl w:val="4"/>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8.9材料与设备专用要求：</w:t>
      </w:r>
    </w:p>
    <w:p w14:paraId="3DB7F21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367C89EC">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9. 试验与检验</w:t>
      </w:r>
    </w:p>
    <w:p w14:paraId="51798A6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9.1试验设备与试验人员</w:t>
      </w:r>
    </w:p>
    <w:p w14:paraId="18B599A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9.1.2 试验设备</w:t>
      </w:r>
    </w:p>
    <w:p w14:paraId="53D3863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r>
        <w:rPr>
          <w:rFonts w:hint="eastAsia" w:ascii="宋体" w:hAnsi="宋体" w:eastAsia="宋体" w:cs="宋体"/>
          <w:color w:val="000000" w:themeColor="text1"/>
          <w:sz w:val="24"/>
          <w:szCs w:val="24"/>
          <w:highlight w:val="none"/>
          <w:u w:val="single"/>
          <w14:textFill>
            <w14:solidFill>
              <w14:schemeClr w14:val="tx1"/>
            </w14:solidFill>
          </w14:textFill>
        </w:rPr>
        <w:t>由承包人提供</w:t>
      </w:r>
      <w:r>
        <w:rPr>
          <w:rFonts w:hint="eastAsia" w:ascii="宋体" w:hAnsi="宋体" w:eastAsia="宋体" w:cs="宋体"/>
          <w:color w:val="000000" w:themeColor="text1"/>
          <w:sz w:val="24"/>
          <w:szCs w:val="24"/>
          <w:highlight w:val="none"/>
          <w14:textFill>
            <w14:solidFill>
              <w14:schemeClr w14:val="tx1"/>
            </w14:solidFill>
          </w14:textFill>
        </w:rPr>
        <w:t>。</w:t>
      </w:r>
    </w:p>
    <w:p w14:paraId="1D4249D6">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由承包人提供。</w:t>
      </w:r>
    </w:p>
    <w:p w14:paraId="2B5F7DF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由承包人提供 </w:t>
      </w:r>
      <w:r>
        <w:rPr>
          <w:rFonts w:hint="eastAsia" w:ascii="宋体" w:hAnsi="宋体" w:eastAsia="宋体" w:cs="宋体"/>
          <w:color w:val="000000" w:themeColor="text1"/>
          <w:sz w:val="24"/>
          <w:szCs w:val="24"/>
          <w:highlight w:val="none"/>
          <w14:textFill>
            <w14:solidFill>
              <w14:schemeClr w14:val="tx1"/>
            </w14:solidFill>
          </w14:textFill>
        </w:rPr>
        <w:t>。</w:t>
      </w:r>
    </w:p>
    <w:p w14:paraId="70C0456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116E8F9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AC72B1A">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 变更</w:t>
      </w:r>
    </w:p>
    <w:p w14:paraId="6709AA9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10.1变更的范围</w:t>
      </w:r>
    </w:p>
    <w:p w14:paraId="717645A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2EF1062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 变更估价</w:t>
      </w:r>
    </w:p>
    <w:p w14:paraId="064FC00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10.4.1 变更估价原则</w:t>
      </w:r>
    </w:p>
    <w:p w14:paraId="5E20B5B5">
      <w:pPr>
        <w:tabs>
          <w:tab w:val="left" w:pos="0"/>
        </w:tabs>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关于变更估价的约定: </w:t>
      </w:r>
    </w:p>
    <w:p w14:paraId="52189149">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因工程变更引起己标价工程量清单项目或其工程数量发生变化时，应按照下列规定调整: </w:t>
      </w:r>
    </w:p>
    <w:p w14:paraId="7075F0D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已标价工程量清单中有适用于变更工程项目的，应采用该项目的单价；但当工程变更导致该清单项目的工程数量发生变化，且工程量偏差超过15%时，当工程量增加15%以上时，增加部分的工程量的综合单价应予调低。当工程量减少 15%以上时，减少后剩余部分工程量综合单价应予调高。</w:t>
      </w:r>
    </w:p>
    <w:p w14:paraId="6E099ED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按照以下公式调整：</w:t>
      </w:r>
    </w:p>
    <w:p w14:paraId="2BC40CF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①当 Q 1 ＞1.15Q 0 时：S=1.15Q 0 +(Q 1 -1.15Q 0 )×P 1</w:t>
      </w:r>
    </w:p>
    <w:p w14:paraId="6AAA092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②当 Q 1 ＜0.85Q 0 时：S=Q 1 ×P 1</w:t>
      </w:r>
    </w:p>
    <w:p w14:paraId="59EFAA2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式中 S------调整后的某一分部分项工程费结算价</w:t>
      </w:r>
    </w:p>
    <w:p w14:paraId="4CF41AF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Q 1 -----最终完成的工程量</w:t>
      </w:r>
    </w:p>
    <w:p w14:paraId="1E05E3E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Q 0 ------招标工程量清单列出的工程量</w:t>
      </w:r>
    </w:p>
    <w:p w14:paraId="0F026D7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P 1 ------按照最终完成工程量重新调整的综合单价</w:t>
      </w:r>
    </w:p>
    <w:p w14:paraId="59450F1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P 0 ------承包人在工程量清单中填报的综合单价</w:t>
      </w:r>
    </w:p>
    <w:p w14:paraId="4D6ECCB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（2）已标价工程量清单中没有适用但有类似于变更工程项目的，可在合理范围内参照类似项目的单价。</w:t>
      </w:r>
    </w:p>
    <w:p w14:paraId="748313C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已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p>
    <w:p w14:paraId="5F0AA21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承包人报价浮动率L=（1-中标价/最高投标限价）*100%</w:t>
      </w:r>
    </w:p>
    <w:p w14:paraId="7B7D2B9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4C19EE9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10.5承包人的合理化建议</w:t>
      </w:r>
    </w:p>
    <w:p w14:paraId="7B279D4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发包人审查承包人合理化建议的期限：收到承包人提交的合理化建议后7日内 。</w:t>
      </w:r>
    </w:p>
    <w:p w14:paraId="215B11C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发包人审批承包人合理化建议的期限：收到承包人报送的合理化建议后7日内 。</w:t>
      </w:r>
    </w:p>
    <w:p w14:paraId="38543888">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53200962">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 价格调整</w:t>
      </w:r>
    </w:p>
    <w:p w14:paraId="1176C8D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p>
    <w:p w14:paraId="12C1C52C">
      <w:pPr>
        <w:spacing w:line="360" w:lineRule="auto"/>
        <w:ind w:firstLine="482"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市场价格波动是否调整合同价格的约定：不调整。</w:t>
      </w:r>
    </w:p>
    <w:p w14:paraId="2AEFCB5E">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 合同价格、计量与支付</w:t>
      </w:r>
    </w:p>
    <w:p w14:paraId="27AA26E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合同价格形式</w:t>
      </w:r>
    </w:p>
    <w:p w14:paraId="042205A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w:t>
      </w:r>
    </w:p>
    <w:p w14:paraId="394C54C6">
      <w:pPr>
        <w:spacing w:line="360" w:lineRule="auto"/>
        <w:ind w:firstLine="480"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本工程采用</w:t>
      </w:r>
      <w:r>
        <w:rPr>
          <w:rFonts w:hint="eastAsia" w:ascii="宋体" w:hAnsi="宋体" w:eastAsia="宋体" w:cs="宋体"/>
          <w:b/>
          <w:color w:val="000000" w:themeColor="text1"/>
          <w:sz w:val="24"/>
          <w:szCs w:val="24"/>
          <w:highlight w:val="none"/>
          <w:u w:val="single"/>
          <w14:textFill>
            <w14:solidFill>
              <w14:schemeClr w14:val="tx1"/>
            </w14:solidFill>
          </w14:textFill>
        </w:rPr>
        <w:t>固定全费用单价合同（全费用单价含人工费、材料费、机械费、管理费、利润、规费、税金等费用）</w:t>
      </w:r>
      <w:r>
        <w:rPr>
          <w:rFonts w:hint="eastAsia" w:ascii="宋体" w:hAnsi="宋体" w:eastAsia="宋体" w:cs="宋体"/>
          <w:b/>
          <w:color w:val="000000" w:themeColor="text1"/>
          <w:sz w:val="24"/>
          <w:szCs w:val="24"/>
          <w:highlight w:val="none"/>
          <w14:textFill>
            <w14:solidFill>
              <w14:schemeClr w14:val="tx1"/>
            </w14:solidFill>
          </w14:textFill>
        </w:rPr>
        <w:t>。</w:t>
      </w:r>
    </w:p>
    <w:p w14:paraId="55A9F0EB">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除非合同中另有规定，投标人在报价中所报的单价和合价，以及投标报价汇总表中的价格均包括完成该工程项目的成本、利润、税金、开办费、各项技术措施费、大型机械进退场费、各种风险费、政策性文件规定费用等等所有费用。</w:t>
      </w:r>
    </w:p>
    <w:p w14:paraId="6F7EF26A">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624383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02E4FE8">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r>
        <w:rPr>
          <w:rFonts w:hint="eastAsia" w:ascii="宋体" w:hAnsi="宋体" w:eastAsia="宋体" w:cs="宋体"/>
          <w:color w:val="000000" w:themeColor="text1"/>
          <w:sz w:val="24"/>
          <w:szCs w:val="24"/>
          <w:highlight w:val="none"/>
          <w:u w:val="single"/>
          <w14:textFill>
            <w14:solidFill>
              <w14:schemeClr w14:val="tx1"/>
            </w14:solidFill>
          </w14:textFill>
        </w:rPr>
        <w:t>不适用</w:t>
      </w:r>
    </w:p>
    <w:p w14:paraId="7C9704E6">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不适用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12.2 预付款</w:t>
      </w:r>
    </w:p>
    <w:p w14:paraId="5D0FF6FF">
      <w:pPr>
        <w:widowControl/>
        <w:spacing w:line="360" w:lineRule="auto"/>
        <w:ind w:firstLine="480" w:firstLineChars="200"/>
        <w:jc w:val="left"/>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r>
        <w:rPr>
          <w:rFonts w:hint="eastAsia" w:ascii="宋体" w:hAnsi="宋体" w:eastAsia="宋体" w:cs="宋体"/>
          <w:b/>
          <w:color w:val="000000" w:themeColor="text1"/>
          <w:sz w:val="24"/>
          <w:szCs w:val="24"/>
          <w:highlight w:val="none"/>
          <w:u w:val="single"/>
          <w14:textFill>
            <w14:solidFill>
              <w14:schemeClr w14:val="tx1"/>
            </w14:solidFill>
          </w14:textFill>
        </w:rPr>
        <w:t>合同签订后，预付合同价款的30%作为预付款；</w:t>
      </w:r>
    </w:p>
    <w:p w14:paraId="179DB352">
      <w:pPr>
        <w:widowControl/>
        <w:spacing w:line="360" w:lineRule="auto"/>
        <w:ind w:firstLine="480" w:firstLineChars="200"/>
        <w:jc w:val="left"/>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p>
    <w:p w14:paraId="3A97D9AA">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BC1F237">
      <w:pPr>
        <w:widowControl/>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4F3A0CE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11051BD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76A2313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执行相关工程量计算规则 </w:t>
      </w:r>
      <w:r>
        <w:rPr>
          <w:rFonts w:hint="eastAsia" w:ascii="宋体" w:hAnsi="宋体" w:eastAsia="宋体" w:cs="宋体"/>
          <w:color w:val="000000" w:themeColor="text1"/>
          <w:sz w:val="24"/>
          <w:szCs w:val="24"/>
          <w:highlight w:val="none"/>
          <w14:textFill>
            <w14:solidFill>
              <w14:schemeClr w14:val="tx1"/>
            </w14:solidFill>
          </w14:textFill>
        </w:rPr>
        <w:t>。</w:t>
      </w:r>
    </w:p>
    <w:p w14:paraId="3D9C05F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65C6C94C">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按月计量，承包人每逢付款前一天提交已完工程量进度报告，送发包方现场工程师确认，得到确认后的工程量进度十日内给付工程进度款。</w:t>
      </w:r>
    </w:p>
    <w:p w14:paraId="08CF99A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12.3.3 单价合同的计量</w:t>
      </w:r>
    </w:p>
    <w:p w14:paraId="4F709E7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关于单价合同计量的约定：</w:t>
      </w:r>
      <w:r>
        <w:rPr>
          <w:rFonts w:hint="eastAsia" w:ascii="宋体" w:hAnsi="宋体" w:eastAsia="宋体" w:cs="宋体"/>
          <w:color w:val="000000" w:themeColor="text1"/>
          <w:sz w:val="24"/>
          <w:szCs w:val="24"/>
          <w:highlight w:val="none"/>
          <w:u w:val="single"/>
          <w14:textFill>
            <w14:solidFill>
              <w14:schemeClr w14:val="tx1"/>
            </w14:solidFill>
          </w14:textFill>
        </w:rPr>
        <w:t>工程量按实计量</w:t>
      </w:r>
      <w:r>
        <w:rPr>
          <w:rFonts w:hint="eastAsia" w:ascii="宋体" w:hAnsi="宋体" w:eastAsia="宋体" w:cs="宋体"/>
          <w:color w:val="000000" w:themeColor="text1"/>
          <w:sz w:val="24"/>
          <w:szCs w:val="24"/>
          <w:highlight w:val="none"/>
          <w14:textFill>
            <w14:solidFill>
              <w14:schemeClr w14:val="tx1"/>
            </w14:solidFill>
          </w14:textFill>
        </w:rPr>
        <w:t>。</w:t>
      </w:r>
    </w:p>
    <w:p w14:paraId="49A8FD57">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12.3.4 总价合同的计量</w:t>
      </w:r>
    </w:p>
    <w:p w14:paraId="0408E62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关于总价合同计量的约定：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9B6923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717326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375CFC4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4F7B6D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5220360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307F9E7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关于付款周期的约定：</w:t>
      </w:r>
    </w:p>
    <w:p w14:paraId="7124785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双方约定的工程款(进度款)支付的方式和时间：</w:t>
      </w:r>
    </w:p>
    <w:p w14:paraId="1D97B6FB">
      <w:pPr>
        <w:spacing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（1）合同签订后，</w:t>
      </w:r>
      <w:bookmarkStart w:id="36" w:name="_Hlk211842769"/>
      <w:r>
        <w:rPr>
          <w:rFonts w:hint="eastAsia" w:ascii="宋体" w:hAnsi="宋体" w:eastAsia="宋体" w:cs="宋体"/>
          <w:b/>
          <w:bCs/>
          <w:color w:val="000000" w:themeColor="text1"/>
          <w:sz w:val="24"/>
          <w:szCs w:val="24"/>
          <w:highlight w:val="none"/>
          <w14:textFill>
            <w14:solidFill>
              <w14:schemeClr w14:val="tx1"/>
            </w14:solidFill>
          </w14:textFill>
        </w:rPr>
        <w:t>预付合同价款的30%作为预付款；</w:t>
      </w:r>
      <w:r>
        <w:rPr>
          <w:rFonts w:ascii="宋体" w:hAnsi="宋体" w:eastAsia="宋体" w:cs="宋体"/>
          <w:b/>
          <w:bCs/>
          <w:color w:val="000000" w:themeColor="text1"/>
          <w:sz w:val="24"/>
          <w:szCs w:val="24"/>
          <w:highlight w:val="none"/>
          <w14:textFill>
            <w14:solidFill>
              <w14:schemeClr w14:val="tx1"/>
            </w14:solidFill>
          </w14:textFill>
        </w:rPr>
        <w:t>工程按进度付款</w:t>
      </w:r>
      <w:r>
        <w:rPr>
          <w:rFonts w:hint="eastAsia" w:ascii="宋体" w:hAnsi="宋体" w:eastAsia="宋体" w:cs="宋体"/>
          <w:b/>
          <w:bCs/>
          <w:color w:val="000000" w:themeColor="text1"/>
          <w:sz w:val="24"/>
          <w:szCs w:val="24"/>
          <w:highlight w:val="none"/>
          <w14:textFill>
            <w14:solidFill>
              <w14:schemeClr w14:val="tx1"/>
            </w14:solidFill>
          </w14:textFill>
        </w:rPr>
        <w:t>，</w:t>
      </w:r>
      <w:r>
        <w:rPr>
          <w:rFonts w:ascii="宋体" w:hAnsi="宋体" w:eastAsia="宋体" w:cs="宋体"/>
          <w:b/>
          <w:bCs/>
          <w:color w:val="000000" w:themeColor="text1"/>
          <w:sz w:val="24"/>
          <w:szCs w:val="24"/>
          <w:highlight w:val="none"/>
          <w14:textFill>
            <w14:solidFill>
              <w14:schemeClr w14:val="tx1"/>
            </w14:solidFill>
          </w14:textFill>
        </w:rPr>
        <w:t>完工验收</w:t>
      </w:r>
      <w:r>
        <w:rPr>
          <w:rFonts w:hint="eastAsia" w:ascii="宋体" w:hAnsi="宋体" w:eastAsia="宋体" w:cs="宋体"/>
          <w:b/>
          <w:bCs/>
          <w:color w:val="000000" w:themeColor="text1"/>
          <w:sz w:val="24"/>
          <w:szCs w:val="24"/>
          <w:highlight w:val="none"/>
          <w14:textFill>
            <w14:solidFill>
              <w14:schemeClr w14:val="tx1"/>
            </w14:solidFill>
          </w14:textFill>
        </w:rPr>
        <w:t>合格后付至结算价的90%；工程审计结束后</w:t>
      </w:r>
      <w:r>
        <w:rPr>
          <w:rFonts w:ascii="宋体" w:hAnsi="宋体" w:eastAsia="宋体" w:cs="宋体"/>
          <w:b/>
          <w:bCs/>
          <w:color w:val="000000" w:themeColor="text1"/>
          <w:sz w:val="24"/>
          <w:szCs w:val="24"/>
          <w:highlight w:val="none"/>
          <w14:textFill>
            <w14:solidFill>
              <w14:schemeClr w14:val="tx1"/>
            </w14:solidFill>
          </w14:textFill>
        </w:rPr>
        <w:t>付至</w:t>
      </w:r>
      <w:r>
        <w:rPr>
          <w:rFonts w:hint="eastAsia" w:ascii="宋体" w:hAnsi="宋体" w:eastAsia="宋体" w:cs="宋体"/>
          <w:b/>
          <w:bCs/>
          <w:color w:val="000000" w:themeColor="text1"/>
          <w:sz w:val="24"/>
          <w:szCs w:val="24"/>
          <w:highlight w:val="none"/>
          <w14:textFill>
            <w14:solidFill>
              <w14:schemeClr w14:val="tx1"/>
            </w14:solidFill>
          </w14:textFill>
        </w:rPr>
        <w:t>审定价</w:t>
      </w:r>
      <w:r>
        <w:rPr>
          <w:rFonts w:ascii="宋体" w:hAnsi="宋体" w:eastAsia="宋体" w:cs="宋体"/>
          <w:b/>
          <w:bCs/>
          <w:color w:val="000000" w:themeColor="text1"/>
          <w:sz w:val="24"/>
          <w:szCs w:val="24"/>
          <w:highlight w:val="none"/>
          <w14:textFill>
            <w14:solidFill>
              <w14:schemeClr w14:val="tx1"/>
            </w14:solidFill>
          </w14:textFill>
        </w:rPr>
        <w:t>的97%，</w:t>
      </w:r>
      <w:r>
        <w:rPr>
          <w:rFonts w:hint="eastAsia" w:ascii="宋体" w:hAnsi="宋体" w:eastAsia="宋体" w:cs="宋体"/>
          <w:b/>
          <w:bCs/>
          <w:color w:val="000000" w:themeColor="text1"/>
          <w:sz w:val="24"/>
          <w:szCs w:val="24"/>
          <w:highlight w:val="none"/>
          <w14:textFill>
            <w14:solidFill>
              <w14:schemeClr w14:val="tx1"/>
            </w14:solidFill>
          </w14:textFill>
        </w:rPr>
        <w:t>余款质保期满无息付清。</w:t>
      </w:r>
      <w:bookmarkEnd w:id="36"/>
    </w:p>
    <w:p w14:paraId="39425F1C">
      <w:pPr>
        <w:spacing w:line="360" w:lineRule="auto"/>
        <w:ind w:firstLine="482"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p>
    <w:p w14:paraId="3E446A8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12.4.2 进度付款申请单的编制</w:t>
      </w:r>
    </w:p>
    <w:p w14:paraId="2BAD43E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不含工程变更、签证、索赔费用 </w:t>
      </w:r>
      <w:r>
        <w:rPr>
          <w:rFonts w:hint="eastAsia" w:ascii="宋体" w:hAnsi="宋体" w:eastAsia="宋体" w:cs="宋体"/>
          <w:color w:val="000000" w:themeColor="text1"/>
          <w:sz w:val="24"/>
          <w:szCs w:val="24"/>
          <w:highlight w:val="none"/>
          <w14:textFill>
            <w14:solidFill>
              <w14:schemeClr w14:val="tx1"/>
            </w14:solidFill>
          </w14:textFill>
        </w:rPr>
        <w:t>。</w:t>
      </w:r>
    </w:p>
    <w:p w14:paraId="64D4A2A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12.4.3 进度付款申请单的提交</w:t>
      </w:r>
    </w:p>
    <w:p w14:paraId="668107B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p>
    <w:p w14:paraId="04CD8C2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82C52B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4E4FA8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50CB45E6">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在收到承包人进度付款申请单以及相关资料后7日内完成 </w:t>
      </w:r>
      <w:r>
        <w:rPr>
          <w:rFonts w:hint="eastAsia" w:ascii="宋体" w:hAnsi="宋体" w:eastAsia="宋体" w:cs="宋体"/>
          <w:color w:val="000000" w:themeColor="text1"/>
          <w:sz w:val="24"/>
          <w:szCs w:val="24"/>
          <w:highlight w:val="none"/>
          <w14:textFill>
            <w14:solidFill>
              <w14:schemeClr w14:val="tx1"/>
            </w14:solidFill>
          </w14:textFill>
        </w:rPr>
        <w:t>。</w:t>
      </w:r>
    </w:p>
    <w:p w14:paraId="3C182F1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在收到承包人报送的进度付款申请单及相关资料后7日内  </w:t>
      </w:r>
      <w:r>
        <w:rPr>
          <w:rFonts w:hint="eastAsia" w:ascii="宋体" w:hAnsi="宋体" w:eastAsia="宋体" w:cs="宋体"/>
          <w:color w:val="000000" w:themeColor="text1"/>
          <w:sz w:val="24"/>
          <w:szCs w:val="24"/>
          <w:highlight w:val="none"/>
          <w14:textFill>
            <w14:solidFill>
              <w14:schemeClr w14:val="tx1"/>
            </w14:solidFill>
          </w14:textFill>
        </w:rPr>
        <w:t>。</w:t>
      </w:r>
    </w:p>
    <w:p w14:paraId="0B55B9F7">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4"/>
          <w:highlight w:val="none"/>
          <w:u w:val="single"/>
          <w14:textFill>
            <w14:solidFill>
              <w14:schemeClr w14:val="tx1"/>
            </w14:solidFill>
          </w14:textFill>
        </w:rPr>
        <w:t>得到确认后的工程量进度十日内给付工程进度款。</w:t>
      </w:r>
    </w:p>
    <w:p w14:paraId="4C71FFC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54F56C2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4942420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6D43F60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468FA82A">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13.验收和工程试车</w:t>
      </w:r>
    </w:p>
    <w:p w14:paraId="557CFA8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31C868A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3791D318">
      <w:pPr>
        <w:spacing w:line="360" w:lineRule="auto"/>
        <w:ind w:firstLine="480"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48</w:t>
      </w:r>
      <w:r>
        <w:rPr>
          <w:rFonts w:hint="eastAsia" w:ascii="宋体" w:hAnsi="宋体" w:eastAsia="宋体" w:cs="宋体"/>
          <w:color w:val="000000" w:themeColor="text1"/>
          <w:sz w:val="24"/>
          <w:szCs w:val="24"/>
          <w:highlight w:val="none"/>
          <w14:textFill>
            <w14:solidFill>
              <w14:schemeClr w14:val="tx1"/>
            </w14:solidFill>
          </w14:textFill>
        </w:rPr>
        <w:t>小时。</w:t>
      </w:r>
    </w:p>
    <w:p w14:paraId="71112F4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竣工验收</w:t>
      </w:r>
    </w:p>
    <w:p w14:paraId="0ED770A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13.2.2竣工验收程序</w:t>
      </w:r>
    </w:p>
    <w:p w14:paraId="25C2E2A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750FC6B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55108ED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p>
    <w:p w14:paraId="4AF2684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在颁发工程接收证书后7日内完成工程的移交。</w:t>
      </w:r>
    </w:p>
    <w:p w14:paraId="775751AE">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10C33BB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每推迟一天，承包人赔偿给发包人壹万元违约金</w:t>
      </w:r>
      <w:r>
        <w:rPr>
          <w:rFonts w:hint="eastAsia" w:ascii="宋体" w:hAnsi="宋体" w:eastAsia="宋体" w:cs="宋体"/>
          <w:color w:val="000000" w:themeColor="text1"/>
          <w:sz w:val="24"/>
          <w:szCs w:val="24"/>
          <w:highlight w:val="none"/>
          <w14:textFill>
            <w14:solidFill>
              <w14:schemeClr w14:val="tx1"/>
            </w14:solidFill>
          </w14:textFill>
        </w:rPr>
        <w:t>。</w:t>
      </w:r>
    </w:p>
    <w:p w14:paraId="688D6E3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p>
    <w:p w14:paraId="66BC33E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13.3.1 试车程序</w:t>
      </w:r>
    </w:p>
    <w:p w14:paraId="11A0A21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整个工程内容   </w:t>
      </w:r>
      <w:r>
        <w:rPr>
          <w:rFonts w:hint="eastAsia" w:ascii="宋体" w:hAnsi="宋体" w:eastAsia="宋体" w:cs="宋体"/>
          <w:color w:val="000000" w:themeColor="text1"/>
          <w:sz w:val="24"/>
          <w:szCs w:val="24"/>
          <w:highlight w:val="none"/>
          <w14:textFill>
            <w14:solidFill>
              <w14:schemeClr w14:val="tx1"/>
            </w14:solidFill>
          </w14:textFill>
        </w:rPr>
        <w:t>。</w:t>
      </w:r>
    </w:p>
    <w:p w14:paraId="7595AB1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承包人  </w:t>
      </w:r>
      <w:r>
        <w:rPr>
          <w:rFonts w:hint="eastAsia" w:ascii="宋体" w:hAnsi="宋体" w:eastAsia="宋体" w:cs="宋体"/>
          <w:color w:val="000000" w:themeColor="text1"/>
          <w:sz w:val="24"/>
          <w:szCs w:val="24"/>
          <w:highlight w:val="none"/>
          <w14:textFill>
            <w14:solidFill>
              <w14:schemeClr w14:val="tx1"/>
            </w14:solidFill>
          </w14:textFill>
        </w:rPr>
        <w:t>承担；</w:t>
      </w:r>
    </w:p>
    <w:p w14:paraId="3E481E7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 </w:t>
      </w:r>
      <w:r>
        <w:rPr>
          <w:rFonts w:hint="eastAsia" w:ascii="宋体" w:hAnsi="宋体" w:eastAsia="宋体" w:cs="宋体"/>
          <w:color w:val="000000" w:themeColor="text1"/>
          <w:sz w:val="24"/>
          <w:szCs w:val="24"/>
          <w:highlight w:val="none"/>
          <w14:textFill>
            <w14:solidFill>
              <w14:schemeClr w14:val="tx1"/>
            </w14:solidFill>
          </w14:textFill>
        </w:rPr>
        <w:t>承担。</w:t>
      </w:r>
    </w:p>
    <w:p w14:paraId="6D109E7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13.3.3 投料试车</w:t>
      </w:r>
    </w:p>
    <w:p w14:paraId="28ACD7B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关于投料试车相关事项的约定：。</w:t>
      </w:r>
    </w:p>
    <w:p w14:paraId="6A91EE2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590B40D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13.6.1 竣工退场</w:t>
      </w:r>
    </w:p>
    <w:p w14:paraId="760310B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在移交结束后7日内完成竣工退场 </w:t>
      </w:r>
      <w:r>
        <w:rPr>
          <w:rFonts w:hint="eastAsia" w:ascii="宋体" w:hAnsi="宋体" w:eastAsia="宋体" w:cs="宋体"/>
          <w:color w:val="000000" w:themeColor="text1"/>
          <w:sz w:val="24"/>
          <w:szCs w:val="24"/>
          <w:highlight w:val="none"/>
          <w14:textFill>
            <w14:solidFill>
              <w14:schemeClr w14:val="tx1"/>
            </w14:solidFill>
          </w14:textFill>
        </w:rPr>
        <w:t>。</w:t>
      </w:r>
    </w:p>
    <w:p w14:paraId="147D94AA">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14. 竣工结算</w:t>
      </w:r>
    </w:p>
    <w:p w14:paraId="7025216B">
      <w:pPr>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14.1 竣工结算申请</w:t>
      </w:r>
    </w:p>
    <w:p w14:paraId="3806C56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在工程竣工验收合格后28天内向发包人提交竣工结算申请单  </w:t>
      </w:r>
      <w:r>
        <w:rPr>
          <w:rFonts w:hint="eastAsia" w:ascii="宋体" w:hAnsi="宋体" w:eastAsia="宋体" w:cs="宋体"/>
          <w:color w:val="000000" w:themeColor="text1"/>
          <w:sz w:val="24"/>
          <w:szCs w:val="24"/>
          <w:highlight w:val="none"/>
          <w14:textFill>
            <w14:solidFill>
              <w14:schemeClr w14:val="tx1"/>
            </w14:solidFill>
          </w14:textFill>
        </w:rPr>
        <w:t>。</w:t>
      </w:r>
    </w:p>
    <w:p w14:paraId="5F51A8B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竣工结算申请单应包括的内容：</w:t>
      </w:r>
    </w:p>
    <w:p w14:paraId="43A6288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（1）竣工结算合同价格；</w:t>
      </w:r>
    </w:p>
    <w:p w14:paraId="5C7C4BA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（2）发包人已支付承包人的款项；</w:t>
      </w:r>
    </w:p>
    <w:p w14:paraId="3C264AA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（3）应扣留的质量保证金； </w:t>
      </w:r>
    </w:p>
    <w:p w14:paraId="4F9616C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（4）发包人应支付承包人的合同价款。</w:t>
      </w:r>
    </w:p>
    <w:p w14:paraId="66A9822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竣工结算审核</w:t>
      </w:r>
    </w:p>
    <w:p w14:paraId="3D91ABA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发包人在收到承包人提交竣工结算申请书后6个月内完成审批</w:t>
      </w:r>
      <w:r>
        <w:rPr>
          <w:rFonts w:hint="eastAsia" w:ascii="宋体" w:hAnsi="宋体" w:eastAsia="宋体" w:cs="宋体"/>
          <w:color w:val="000000" w:themeColor="text1"/>
          <w:sz w:val="24"/>
          <w:szCs w:val="24"/>
          <w:highlight w:val="none"/>
          <w14:textFill>
            <w14:solidFill>
              <w14:schemeClr w14:val="tx1"/>
            </w14:solidFill>
          </w14:textFill>
        </w:rPr>
        <w:t>。</w:t>
      </w:r>
    </w:p>
    <w:p w14:paraId="0BB11DD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发包人应在签发竣工付款证书后的3个月内，完成对承包人的竣工付款  </w:t>
      </w:r>
      <w:r>
        <w:rPr>
          <w:rFonts w:hint="eastAsia" w:ascii="宋体" w:hAnsi="宋体" w:eastAsia="宋体" w:cs="宋体"/>
          <w:color w:val="000000" w:themeColor="text1"/>
          <w:sz w:val="24"/>
          <w:szCs w:val="24"/>
          <w:highlight w:val="none"/>
          <w14:textFill>
            <w14:solidFill>
              <w14:schemeClr w14:val="tx1"/>
            </w14:solidFill>
          </w14:textFill>
        </w:rPr>
        <w:t>。</w:t>
      </w:r>
    </w:p>
    <w:p w14:paraId="52E11E1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按照第20条〔争议解决〕约定处理  </w:t>
      </w:r>
      <w:r>
        <w:rPr>
          <w:rFonts w:hint="eastAsia" w:ascii="宋体" w:hAnsi="宋体" w:eastAsia="宋体" w:cs="宋体"/>
          <w:color w:val="000000" w:themeColor="text1"/>
          <w:sz w:val="24"/>
          <w:szCs w:val="24"/>
          <w:highlight w:val="none"/>
          <w14:textFill>
            <w14:solidFill>
              <w14:schemeClr w14:val="tx1"/>
            </w14:solidFill>
          </w14:textFill>
        </w:rPr>
        <w:t>。</w:t>
      </w:r>
    </w:p>
    <w:p w14:paraId="4FBFC45B">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承包人应尽可能按实报审竣工结算，不得弄虚作假。施工单位所报结算经审计后，若审减额（送审额与审定额之差）超过 5%（含5%）时超出部分由承包人承担，其费用由发包人从工程款中代扣支付给咨询人 。</w:t>
      </w:r>
    </w:p>
    <w:p w14:paraId="3A7A3C6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 最终结清</w:t>
      </w:r>
    </w:p>
    <w:p w14:paraId="6A16E6B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14.4.1 最终结清申请单</w:t>
      </w:r>
    </w:p>
    <w:p w14:paraId="53DE022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sz w:val="24"/>
          <w:szCs w:val="24"/>
          <w:highlight w:val="none"/>
          <w:u w:val="single"/>
          <w14:textFill>
            <w14:solidFill>
              <w14:schemeClr w14:val="tx1"/>
            </w14:solidFill>
          </w14:textFill>
        </w:rPr>
        <w:t>叁份</w:t>
      </w:r>
      <w:r>
        <w:rPr>
          <w:rFonts w:hint="eastAsia" w:ascii="宋体" w:hAnsi="宋体" w:eastAsia="宋体" w:cs="宋体"/>
          <w:color w:val="000000" w:themeColor="text1"/>
          <w:sz w:val="24"/>
          <w:szCs w:val="24"/>
          <w:highlight w:val="none"/>
          <w14:textFill>
            <w14:solidFill>
              <w14:schemeClr w14:val="tx1"/>
            </w14:solidFill>
          </w14:textFill>
        </w:rPr>
        <w:t>。</w:t>
      </w:r>
    </w:p>
    <w:p w14:paraId="2A86DA98">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在缺陷责任期终止证书颁发后7日内  。 </w:t>
      </w:r>
    </w:p>
    <w:p w14:paraId="6E0E7F8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14.4.2 最终结清证书和支付</w:t>
      </w:r>
    </w:p>
    <w:p w14:paraId="043CE1D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在收到承包人提交的最终结清申请单后14天内  </w:t>
      </w:r>
      <w:r>
        <w:rPr>
          <w:rFonts w:hint="eastAsia" w:ascii="宋体" w:hAnsi="宋体" w:eastAsia="宋体" w:cs="宋体"/>
          <w:color w:val="000000" w:themeColor="text1"/>
          <w:sz w:val="24"/>
          <w:szCs w:val="24"/>
          <w:highlight w:val="none"/>
          <w14:textFill>
            <w14:solidFill>
              <w14:schemeClr w14:val="tx1"/>
            </w14:solidFill>
          </w14:textFill>
        </w:rPr>
        <w:t>。</w:t>
      </w:r>
    </w:p>
    <w:p w14:paraId="74563B14">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sz w:val="24"/>
          <w:szCs w:val="24"/>
          <w:highlight w:val="none"/>
          <w:u w:val="single"/>
          <w14:textFill>
            <w14:solidFill>
              <w14:schemeClr w14:val="tx1"/>
            </w14:solidFill>
          </w14:textFill>
        </w:rPr>
        <w:t>在颁发最终结清证书后30日内完成支付 。</w:t>
      </w:r>
    </w:p>
    <w:p w14:paraId="7376DFD9">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p>
    <w:p w14:paraId="7530813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p>
    <w:p w14:paraId="0E501C5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r>
        <w:rPr>
          <w:rFonts w:hint="eastAsia" w:ascii="宋体" w:hAnsi="宋体" w:eastAsia="宋体" w:cs="宋体"/>
          <w:color w:val="000000" w:themeColor="text1"/>
          <w:sz w:val="24"/>
          <w:szCs w:val="24"/>
          <w:highlight w:val="none"/>
          <w:u w:val="single"/>
          <w14:textFill>
            <w14:solidFill>
              <w14:schemeClr w14:val="tx1"/>
            </w14:solidFill>
          </w14:textFill>
        </w:rPr>
        <w:t>自实际竣工日期起</w:t>
      </w:r>
      <w:r>
        <w:rPr>
          <w:rFonts w:hint="eastAsia" w:ascii="宋体" w:hAnsi="宋体" w:eastAsia="宋体" w:cs="宋体"/>
          <w:b/>
          <w:color w:val="000000" w:themeColor="text1"/>
          <w:sz w:val="24"/>
          <w:szCs w:val="24"/>
          <w:highlight w:val="none"/>
          <w:u w:val="single"/>
          <w14:textFill>
            <w14:solidFill>
              <w14:schemeClr w14:val="tx1"/>
            </w14:solidFill>
          </w14:textFill>
        </w:rPr>
        <w:t>24个月</w:t>
      </w:r>
      <w:r>
        <w:rPr>
          <w:rFonts w:hint="eastAsia" w:ascii="宋体" w:hAnsi="宋体" w:eastAsia="宋体" w:cs="宋体"/>
          <w:color w:val="000000" w:themeColor="text1"/>
          <w:sz w:val="24"/>
          <w:szCs w:val="24"/>
          <w:highlight w:val="none"/>
          <w14:textFill>
            <w14:solidFill>
              <w14:schemeClr w14:val="tx1"/>
            </w14:solidFill>
          </w14:textFill>
        </w:rPr>
        <w:t>。</w:t>
      </w:r>
    </w:p>
    <w:p w14:paraId="7AE6CF8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p>
    <w:p w14:paraId="20B9657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21E655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在工程项目竣工前，承包人按专用合同条款第3.7条提供履约担保的，发包人不得同时预留工程质量保证金。</w:t>
      </w:r>
    </w:p>
    <w:p w14:paraId="3034279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65CB709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种方式：</w:t>
      </w:r>
    </w:p>
    <w:p w14:paraId="15D37F3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（1）质量保证金保函，保证金额为：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4D2E079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u w:val="single"/>
          <w14:textFill>
            <w14:solidFill>
              <w14:schemeClr w14:val="tx1"/>
            </w14:solidFill>
          </w14:textFill>
        </w:rPr>
        <w:t>审定价的：3%</w:t>
      </w:r>
      <w:r>
        <w:rPr>
          <w:rFonts w:hint="eastAsia" w:ascii="宋体" w:hAnsi="宋体" w:eastAsia="宋体" w:cs="宋体"/>
          <w:color w:val="000000" w:themeColor="text1"/>
          <w:sz w:val="24"/>
          <w:szCs w:val="24"/>
          <w:highlight w:val="none"/>
          <w14:textFill>
            <w14:solidFill>
              <w14:schemeClr w14:val="tx1"/>
            </w14:solidFill>
          </w14:textFill>
        </w:rPr>
        <w:t>；</w:t>
      </w:r>
    </w:p>
    <w:p w14:paraId="0C6EFD6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（3）其他方式:</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47984894">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D163E4D">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9BF90B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p>
    <w:p w14:paraId="0B74D3B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4D1C771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sz w:val="24"/>
          <w:szCs w:val="24"/>
          <w:highlight w:val="none"/>
          <w:u w:val="single"/>
          <w14:textFill>
            <w14:solidFill>
              <w14:schemeClr w14:val="tx1"/>
            </w14:solidFill>
          </w14:textFill>
        </w:rPr>
        <w:t>按国家有关规定</w:t>
      </w:r>
      <w:r>
        <w:rPr>
          <w:rFonts w:hint="eastAsia" w:ascii="宋体" w:hAnsi="宋体" w:eastAsia="宋体" w:cs="宋体"/>
          <w:color w:val="000000" w:themeColor="text1"/>
          <w:sz w:val="24"/>
          <w:szCs w:val="24"/>
          <w:highlight w:val="none"/>
          <w14:textFill>
            <w14:solidFill>
              <w14:schemeClr w14:val="tx1"/>
            </w14:solidFill>
          </w14:textFill>
        </w:rPr>
        <w:t>。</w:t>
      </w:r>
    </w:p>
    <w:p w14:paraId="1C80970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52D8D8FC">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sz w:val="24"/>
          <w:szCs w:val="24"/>
          <w:highlight w:val="none"/>
          <w:u w:val="single"/>
          <w14:textFill>
            <w14:solidFill>
              <w14:schemeClr w14:val="tx1"/>
            </w14:solidFill>
          </w14:textFill>
        </w:rPr>
        <w:t>收到保修通知或口头通知后48小时内。</w:t>
      </w:r>
    </w:p>
    <w:p w14:paraId="5E65B377">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16. 违约</w:t>
      </w:r>
    </w:p>
    <w:p w14:paraId="1214E7A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131B0DD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16CF47E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发包人违约的其他情形：</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71D9758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16.1.2 发包人违约的责任</w:t>
      </w:r>
    </w:p>
    <w:p w14:paraId="362DD6C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发包人违约责任的承担方式和计算方法：</w:t>
      </w:r>
    </w:p>
    <w:p w14:paraId="3DF62BB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sz w:val="24"/>
          <w:szCs w:val="24"/>
          <w:highlight w:val="none"/>
          <w:u w:val="single"/>
          <w14:textFill>
            <w14:solidFill>
              <w14:schemeClr w14:val="tx1"/>
            </w14:solidFill>
          </w14:textFill>
        </w:rPr>
        <w:t>发包人顺延工期</w:t>
      </w:r>
      <w:r>
        <w:rPr>
          <w:rFonts w:hint="eastAsia" w:ascii="宋体" w:hAnsi="宋体" w:eastAsia="宋体" w:cs="宋体"/>
          <w:color w:val="000000" w:themeColor="text1"/>
          <w:sz w:val="24"/>
          <w:szCs w:val="24"/>
          <w:highlight w:val="none"/>
          <w14:textFill>
            <w14:solidFill>
              <w14:schemeClr w14:val="tx1"/>
            </w14:solidFill>
          </w14:textFill>
        </w:rPr>
        <w:t>。</w:t>
      </w:r>
    </w:p>
    <w:p w14:paraId="13AE578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（2）因发包人原因未能按合同约定支付合同价款的违约责任：。</w:t>
      </w:r>
    </w:p>
    <w:p w14:paraId="63A10B54">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（3）发包人违反第10.1款〔变更的范围〕第（2）项约定，自行实施被取消的工作或转由他人实施的违约责任：。</w:t>
      </w:r>
    </w:p>
    <w:p w14:paraId="492F02D3">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14:textFill>
            <w14:solidFill>
              <w14:schemeClr w14:val="tx1"/>
            </w14:solidFill>
          </w14:textFill>
        </w:rPr>
        <w:t>发包人顺延工期</w:t>
      </w:r>
      <w:r>
        <w:rPr>
          <w:rFonts w:hint="eastAsia" w:ascii="宋体" w:hAnsi="宋体" w:eastAsia="宋体" w:cs="宋体"/>
          <w:color w:val="000000" w:themeColor="text1"/>
          <w:sz w:val="24"/>
          <w:szCs w:val="24"/>
          <w:highlight w:val="none"/>
          <w14:textFill>
            <w14:solidFill>
              <w14:schemeClr w14:val="tx1"/>
            </w14:solidFill>
          </w14:textFill>
        </w:rPr>
        <w:t>。</w:t>
      </w:r>
    </w:p>
    <w:p w14:paraId="60A0BD52">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sz w:val="24"/>
          <w:szCs w:val="24"/>
          <w:highlight w:val="none"/>
          <w:u w:val="single"/>
          <w14:textFill>
            <w14:solidFill>
              <w14:schemeClr w14:val="tx1"/>
            </w14:solidFill>
          </w14:textFill>
        </w:rPr>
        <w:t>发包人顺延工期</w:t>
      </w:r>
      <w:r>
        <w:rPr>
          <w:rFonts w:hint="eastAsia" w:ascii="宋体" w:hAnsi="宋体" w:eastAsia="宋体" w:cs="宋体"/>
          <w:color w:val="000000" w:themeColor="text1"/>
          <w:sz w:val="24"/>
          <w:szCs w:val="24"/>
          <w:highlight w:val="none"/>
          <w14:textFill>
            <w14:solidFill>
              <w14:schemeClr w14:val="tx1"/>
            </w14:solidFill>
          </w14:textFill>
        </w:rPr>
        <w:t>。</w:t>
      </w:r>
    </w:p>
    <w:p w14:paraId="619B370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发包人顺延工期 </w:t>
      </w:r>
      <w:r>
        <w:rPr>
          <w:rFonts w:hint="eastAsia" w:ascii="宋体" w:hAnsi="宋体" w:eastAsia="宋体" w:cs="宋体"/>
          <w:color w:val="000000" w:themeColor="text1"/>
          <w:sz w:val="24"/>
          <w:szCs w:val="24"/>
          <w:highlight w:val="none"/>
          <w14:textFill>
            <w14:solidFill>
              <w14:schemeClr w14:val="tx1"/>
            </w14:solidFill>
          </w14:textFill>
        </w:rPr>
        <w:t>。</w:t>
      </w:r>
    </w:p>
    <w:p w14:paraId="7F6C2BA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（7）其他：</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29BF66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6DBE521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sz w:val="24"/>
          <w:szCs w:val="24"/>
          <w:highlight w:val="none"/>
          <w:u w:val="single"/>
          <w14:textFill>
            <w14:solidFill>
              <w14:schemeClr w14:val="tx1"/>
            </w14:solidFill>
          </w14:textFill>
        </w:rPr>
        <w:t>90</w:t>
      </w:r>
      <w:r>
        <w:rPr>
          <w:rFonts w:hint="eastAsia" w:ascii="宋体" w:hAnsi="宋体" w:eastAsia="宋体" w:cs="宋体"/>
          <w:color w:val="000000" w:themeColor="text1"/>
          <w:sz w:val="24"/>
          <w:szCs w:val="24"/>
          <w:highlight w:val="none"/>
          <w14:textFill>
            <w14:solidFill>
              <w14:schemeClr w14:val="tx1"/>
            </w14:solidFill>
          </w14:textFill>
        </w:rPr>
        <w:t>天后发包人仍不纠正其违约行为并致使合同目的不能实现的，承包人有权解除合同。</w:t>
      </w:r>
    </w:p>
    <w:p w14:paraId="7871377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1A742CD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16.2.1 承包人违约的情形</w:t>
      </w:r>
    </w:p>
    <w:p w14:paraId="791F6ED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（1）因承包人安全文明措施不到位的或未按规定实施的；</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（2）因承包人原因，导致周边住户和单位投诉或新闻媒体负面曝光；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（3）承包人不能按规定上报竣工结算；</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（4）因承包人原因发生保险事故给发包人造成影响的；</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5）承包人因任何原因，未在甲方同意的情况下停工或消极怠工，均视为违约，且在接到复工通知3日内不复工的，甲方有权解除合同，已完工程量按70%计量，且一切损失由承包人自负，或按每拖延一天罚合同总价的千分之二，在结算时扣除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（6）承包人其他违约情形。</w:t>
      </w:r>
    </w:p>
    <w:p w14:paraId="6BB6687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16.2.2承包人违约的责任</w:t>
      </w:r>
    </w:p>
    <w:p w14:paraId="4B232617">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承包人违约责任的承担方式和计算方法：</w:t>
      </w:r>
      <w:r>
        <w:rPr>
          <w:rFonts w:hint="eastAsia" w:ascii="宋体" w:hAnsi="宋体" w:eastAsia="宋体" w:cs="宋体"/>
          <w:color w:val="000000" w:themeColor="text1"/>
          <w:sz w:val="24"/>
          <w:szCs w:val="24"/>
          <w:highlight w:val="none"/>
          <w:u w:val="single"/>
          <w14:textFill>
            <w14:solidFill>
              <w14:schemeClr w14:val="tx1"/>
            </w14:solidFill>
          </w14:textFill>
        </w:rPr>
        <w:t>承包人承担全部费用，费用工期不顺延。工期延误每延误一天，承包人赔偿给发包人贰万元违约金</w:t>
      </w:r>
    </w:p>
    <w:p w14:paraId="7357ECC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0B5A48C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关于承包人违约解除合同的特别约定：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发包人没收全部履约保证金并暂停对承包人的付款  </w:t>
      </w:r>
      <w:r>
        <w:rPr>
          <w:rFonts w:hint="eastAsia" w:ascii="宋体" w:hAnsi="宋体" w:eastAsia="宋体" w:cs="宋体"/>
          <w:color w:val="000000" w:themeColor="text1"/>
          <w:sz w:val="24"/>
          <w:szCs w:val="24"/>
          <w:highlight w:val="none"/>
          <w14:textFill>
            <w14:solidFill>
              <w14:schemeClr w14:val="tx1"/>
            </w14:solidFill>
          </w14:textFill>
        </w:rPr>
        <w:t>。</w:t>
      </w:r>
    </w:p>
    <w:p w14:paraId="011B9D35">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施工现场的材料、设备由发包人承担费用，其它费用由承包人承担。</w:t>
      </w:r>
    </w:p>
    <w:p w14:paraId="51F94DB2">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签订合同后被发现存在出借（挂靠）资质的行为，愿意无条件接受被取消中标（承包）资格、投标保证金不予退还、履约保证金不予退还、合同解除及清除出场，一切损失自行承担。</w:t>
      </w:r>
    </w:p>
    <w:p w14:paraId="3296D4E2">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 不可抗力 </w:t>
      </w:r>
    </w:p>
    <w:p w14:paraId="57E47F9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1FE9E507">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0050834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F94C33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28</w:t>
      </w:r>
      <w:r>
        <w:rPr>
          <w:rFonts w:hint="eastAsia" w:ascii="宋体" w:hAnsi="宋体" w:eastAsia="宋体" w:cs="宋体"/>
          <w:color w:val="000000" w:themeColor="text1"/>
          <w:sz w:val="24"/>
          <w:szCs w:val="24"/>
          <w:highlight w:val="none"/>
          <w14:textFill>
            <w14:solidFill>
              <w14:schemeClr w14:val="tx1"/>
            </w14:solidFill>
          </w14:textFill>
        </w:rPr>
        <w:t>天内完成款项的支付。</w:t>
      </w:r>
    </w:p>
    <w:p w14:paraId="12F7DDC3">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18. 保险</w:t>
      </w:r>
    </w:p>
    <w:p w14:paraId="2A79AF3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3BC34AD3">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关于工程保险的特别约定：</w:t>
      </w:r>
      <w:r>
        <w:rPr>
          <w:rFonts w:hint="eastAsia" w:ascii="宋体" w:hAnsi="宋体" w:eastAsia="宋体" w:cs="宋体"/>
          <w:b/>
          <w:color w:val="000000" w:themeColor="text1"/>
          <w:sz w:val="24"/>
          <w:szCs w:val="24"/>
          <w:highlight w:val="none"/>
          <w:u w:val="single"/>
          <w14:textFill>
            <w14:solidFill>
              <w14:schemeClr w14:val="tx1"/>
            </w14:solidFill>
          </w14:textFill>
        </w:rPr>
        <w:t>为工程购买建筑工程一切险，保险费用由承包人支付</w:t>
      </w:r>
      <w:r>
        <w:rPr>
          <w:rFonts w:hint="eastAsia" w:ascii="宋体" w:hAnsi="宋体" w:eastAsia="宋体" w:cs="宋体"/>
          <w:b/>
          <w:color w:val="000000" w:themeColor="text1"/>
          <w:sz w:val="24"/>
          <w:szCs w:val="24"/>
          <w:highlight w:val="none"/>
          <w14:textFill>
            <w14:solidFill>
              <w14:schemeClr w14:val="tx1"/>
            </w14:solidFill>
          </w14:textFill>
        </w:rPr>
        <w:t>。</w:t>
      </w:r>
    </w:p>
    <w:p w14:paraId="21E2047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1193AE0E">
      <w:pPr>
        <w:spacing w:line="360" w:lineRule="auto"/>
        <w:ind w:firstLine="480"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承包人为施工现场的全部人员办理意外伤害保险、工程事故保险。一切事故均与发包方无关</w:t>
      </w:r>
      <w:r>
        <w:rPr>
          <w:rFonts w:hint="eastAsia" w:ascii="宋体" w:hAnsi="宋体" w:eastAsia="宋体" w:cs="宋体"/>
          <w:b/>
          <w:color w:val="000000" w:themeColor="text1"/>
          <w:sz w:val="24"/>
          <w:szCs w:val="24"/>
          <w:highlight w:val="none"/>
          <w14:textFill>
            <w14:solidFill>
              <w14:schemeClr w14:val="tx1"/>
            </w14:solidFill>
          </w14:textFill>
        </w:rPr>
        <w:t xml:space="preserve">。 </w:t>
      </w:r>
    </w:p>
    <w:p w14:paraId="4F3929EA">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承包人为其施工设备等办理财产保险</w:t>
      </w:r>
      <w:r>
        <w:rPr>
          <w:rFonts w:hint="eastAsia" w:ascii="宋体" w:hAnsi="宋体" w:eastAsia="宋体" w:cs="宋体"/>
          <w:color w:val="000000" w:themeColor="text1"/>
          <w:sz w:val="24"/>
          <w:szCs w:val="24"/>
          <w:highlight w:val="none"/>
          <w14:textFill>
            <w14:solidFill>
              <w14:schemeClr w14:val="tx1"/>
            </w14:solidFill>
          </w14:textFill>
        </w:rPr>
        <w:t>。</w:t>
      </w:r>
    </w:p>
    <w:p w14:paraId="27EBA46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52F68A0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变更前应事先征得对方同意并通知发包人</w:t>
      </w:r>
      <w:r>
        <w:rPr>
          <w:rFonts w:hint="eastAsia" w:ascii="宋体" w:hAnsi="宋体" w:eastAsia="宋体" w:cs="宋体"/>
          <w:color w:val="000000" w:themeColor="text1"/>
          <w:sz w:val="24"/>
          <w:szCs w:val="24"/>
          <w:highlight w:val="none"/>
          <w14:textFill>
            <w14:solidFill>
              <w14:schemeClr w14:val="tx1"/>
            </w14:solidFill>
          </w14:textFill>
        </w:rPr>
        <w:t>。</w:t>
      </w:r>
    </w:p>
    <w:p w14:paraId="482EFCA7">
      <w:pPr>
        <w:spacing w:line="360" w:lineRule="auto"/>
        <w:ind w:firstLine="480" w:firstLineChars="200"/>
        <w:outlineLvl w:val="3"/>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20. 争议解决</w:t>
      </w:r>
    </w:p>
    <w:p w14:paraId="256E6BD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争议评审</w:t>
      </w:r>
    </w:p>
    <w:p w14:paraId="6839406E">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p>
    <w:p w14:paraId="45E6F9CC">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64CF83B6">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3DAA1D3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21547D0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D62F84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77E4E1D">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20.3.2 争议评审小组的决定</w:t>
      </w:r>
    </w:p>
    <w:p w14:paraId="3D60A3F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51D536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p>
    <w:p w14:paraId="4331149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7B85DE1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3171E3E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海州区</w:t>
      </w:r>
      <w:r>
        <w:rPr>
          <w:rFonts w:hint="eastAsia" w:ascii="宋体" w:hAnsi="宋体" w:eastAsia="宋体" w:cs="宋体"/>
          <w:color w:val="000000" w:themeColor="text1"/>
          <w:sz w:val="24"/>
          <w:szCs w:val="24"/>
          <w:highlight w:val="none"/>
          <w14:textFill>
            <w14:solidFill>
              <w14:schemeClr w14:val="tx1"/>
            </w14:solidFill>
          </w14:textFill>
        </w:rPr>
        <w:t>人民法院起诉。</w:t>
      </w:r>
    </w:p>
    <w:p w14:paraId="571F0D0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21、补充条款：</w:t>
      </w:r>
    </w:p>
    <w:p w14:paraId="3CF4F4F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1、结算时，以中标价及本合同中明确的调整因素、办法为依据进行调整。</w:t>
      </w:r>
    </w:p>
    <w:p w14:paraId="663CCE8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2、凡是非设计变更以及发包人造成的施工条件变更原因，施工方案和施工措施的修改而造成增加的费用由承包人承担。</w:t>
      </w:r>
    </w:p>
    <w:p w14:paraId="4F7B2C60">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3、为了确保工程质量约定如下：</w:t>
      </w:r>
    </w:p>
    <w:p w14:paraId="26352CD6">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承包人应自费修补工程缺陷，使其达到协议书约定的质量标准，若两次验收达不到约定的质量标准则处以合同总价2%的罚款。</w:t>
      </w:r>
    </w:p>
    <w:p w14:paraId="1EAFBD4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4、为了确保工程顺利完成，施工期间若承包人有违背招标文件（含合同条件）有关规定之行为，承包人无条件接受招标人的一切处罚并赔偿所造成的一切损失，在招标人规定的时间内无条件撤出施工现场。</w:t>
      </w:r>
    </w:p>
    <w:p w14:paraId="514EC86F">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5、施工期间承包人必须按文明施工规定的具体内容进行实施，若未全部实施，结算时将扣除相应费用。</w:t>
      </w:r>
    </w:p>
    <w:p w14:paraId="7E873D1B">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737E9D3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6EC60959">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8、若承包人在施工期间发生违约行为，每次按10％的履约保证金扣除承包人违约金,直至扣完为止。违约超过三次以上（含三次）发包人将解除合同，承包人须无条件撤离施工现场。</w:t>
      </w:r>
    </w:p>
    <w:p w14:paraId="727A621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9、无论发包人是否给予了批准或者同意，承包人应对现场作业、施工方法及施工过程的完整性、稳定性和安全性承担全部责任，负责完成对工程的稳定、完整、安全、可靠及有效运行所必需的全部工作。</w:t>
      </w:r>
    </w:p>
    <w:p w14:paraId="10ABEB0A">
      <w:pPr>
        <w:spacing w:line="360" w:lineRule="auto"/>
        <w:ind w:firstLine="482" w:firstLineChars="20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合同附件</w:t>
      </w:r>
    </w:p>
    <w:p w14:paraId="152C3FBA">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附件1：工程质量保修书</w:t>
      </w:r>
    </w:p>
    <w:p w14:paraId="3E273C8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附件2：项目部任职文件</w:t>
      </w:r>
    </w:p>
    <w:p w14:paraId="2AE2F80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附件3：安全生产合同</w:t>
      </w:r>
    </w:p>
    <w:p w14:paraId="76E9584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CF4CCF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p>
    <w:p w14:paraId="1952C088">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p>
    <w:p w14:paraId="746C30F1">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p>
    <w:p w14:paraId="3A13A934">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p>
    <w:p w14:paraId="4E49D6A4">
      <w:pPr>
        <w:widowControl/>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br w:type="page"/>
      </w:r>
    </w:p>
    <w:p w14:paraId="5C07485E">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p>
    <w:p w14:paraId="0C115286">
      <w:pPr>
        <w:spacing w:line="360" w:lineRule="auto"/>
        <w:ind w:firstLine="640" w:firstLineChars="200"/>
        <w:jc w:val="left"/>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附件1：</w:t>
      </w:r>
    </w:p>
    <w:p w14:paraId="29093AA7">
      <w:pPr>
        <w:spacing w:line="360" w:lineRule="auto"/>
        <w:ind w:firstLine="640" w:firstLineChars="200"/>
        <w:jc w:val="cente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工程质量保修书</w:t>
      </w:r>
    </w:p>
    <w:p w14:paraId="4594A7DF">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58251B5">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BAEEF93">
      <w:pPr>
        <w:spacing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p>
    <w:p w14:paraId="77E0D2B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发包人和承包人根据《中华人民共和国建筑法》和《建设工程质量管理条例》，经协商一致就（工程全称）签订工程质量保修书。</w:t>
      </w:r>
    </w:p>
    <w:p w14:paraId="3444B9B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一、工程质量保修范围和内容</w:t>
      </w:r>
    </w:p>
    <w:p w14:paraId="00B3023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承包人在质量保修期内，按照有关法律规定和合同约定，承担工程质量保修责任。</w:t>
      </w:r>
    </w:p>
    <w:p w14:paraId="1753AEF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质量保修范围包括消防设施工程以及双方约定的其他项目。具体保修的内容，双方约定如下：承包人施工范围内的全部内容。</w:t>
      </w:r>
    </w:p>
    <w:p w14:paraId="78AF350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二、质量保修期</w:t>
      </w:r>
    </w:p>
    <w:p w14:paraId="320B8C5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6C0E859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1、地基基础和主体结构工程为设计合理使用年限，屋面、地面、地下室、墙面以及有防水要求的其它部位的防水工程均为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 xml:space="preserve"> 年；</w:t>
      </w:r>
    </w:p>
    <w:p w14:paraId="35EF863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2、电气管线、上下水管线工程为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 年；</w:t>
      </w:r>
    </w:p>
    <w:p w14:paraId="7D518EB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3、供热及供冷为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个采暖期及供冷期；</w:t>
      </w:r>
    </w:p>
    <w:p w14:paraId="6ACC5DF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4、室外的上下水等市政公用工程为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w:t>
      </w:r>
      <w:r>
        <w:rPr>
          <w:rFonts w:hint="eastAsia" w:ascii="宋体" w:hAnsi="宋体" w:eastAsia="宋体" w:cs="宋体"/>
          <w:color w:val="000000" w:themeColor="text1"/>
          <w:sz w:val="24"/>
          <w:szCs w:val="24"/>
          <w:highlight w:val="none"/>
          <w14:textFill>
            <w14:solidFill>
              <w14:schemeClr w14:val="tx1"/>
            </w14:solidFill>
          </w14:textFill>
        </w:rPr>
        <w:t xml:space="preserve"> 年；</w:t>
      </w:r>
    </w:p>
    <w:p w14:paraId="3E39E3F4">
      <w:pPr>
        <w:spacing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5、其他项目保修期限约定如下：</w:t>
      </w:r>
      <w:r>
        <w:rPr>
          <w:rFonts w:hint="eastAsia" w:ascii="宋体" w:hAnsi="宋体" w:eastAsia="宋体" w:cs="宋体"/>
          <w:color w:val="000000" w:themeColor="text1"/>
          <w:sz w:val="24"/>
          <w:szCs w:val="24"/>
          <w:highlight w:val="none"/>
          <w:u w:val="single"/>
          <w14:textFill>
            <w14:solidFill>
              <w14:schemeClr w14:val="tx1"/>
            </w14:solidFill>
          </w14:textFill>
        </w:rPr>
        <w:t>本项目质保期2年</w:t>
      </w:r>
    </w:p>
    <w:p w14:paraId="72F719F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质量保修期自工程竣工验收合格之日起计算。</w:t>
      </w:r>
    </w:p>
    <w:p w14:paraId="76119E4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1333091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w:t>
      </w:r>
      <w:r>
        <w:rPr>
          <w:rFonts w:hint="eastAsia" w:ascii="宋体" w:hAnsi="宋体" w:eastAsia="宋体" w:cs="宋体"/>
          <w:b/>
          <w:color w:val="000000" w:themeColor="text1"/>
          <w:sz w:val="24"/>
          <w:szCs w:val="24"/>
          <w:highlight w:val="none"/>
          <w14:textFill>
            <w14:solidFill>
              <w14:schemeClr w14:val="tx1"/>
            </w14:solidFill>
          </w14:textFill>
        </w:rPr>
        <w:t>为</w:t>
      </w:r>
      <w:r>
        <w:rPr>
          <w:rFonts w:hint="eastAsia" w:ascii="宋体" w:hAnsi="宋体" w:eastAsia="宋体" w:cs="宋体"/>
          <w:b/>
          <w:color w:val="000000" w:themeColor="text1"/>
          <w:sz w:val="24"/>
          <w:szCs w:val="24"/>
          <w:highlight w:val="none"/>
          <w:u w:val="single"/>
          <w14:textFill>
            <w14:solidFill>
              <w14:schemeClr w14:val="tx1"/>
            </w14:solidFill>
          </w14:textFill>
        </w:rPr>
        <w:t>24个</w:t>
      </w:r>
      <w:r>
        <w:rPr>
          <w:rFonts w:hint="eastAsia" w:ascii="宋体" w:hAnsi="宋体" w:eastAsia="宋体" w:cs="宋体"/>
          <w:b/>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14:textFill>
            <w14:solidFill>
              <w14:schemeClr w14:val="tx1"/>
            </w14:solidFill>
          </w14:textFill>
        </w:rPr>
        <w:t>，缺陷责任期自工程竣工验收合格之日起计算。单位工程先于全部工程进行验收，单位工程缺陷责任期自单位工程验收合格之日起算。</w:t>
      </w:r>
    </w:p>
    <w:p w14:paraId="4AFC6A8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缺陷责任期终止后，发包人应退还剩余的质量保证金。</w:t>
      </w:r>
    </w:p>
    <w:p w14:paraId="44EA473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p>
    <w:p w14:paraId="7A81A31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1．属于保修范围、内容的项目，承包人应当在接到保修通知之日起48小时内派人保修。承包人不在约定期限内派人保修的，发包人可以委托他人修理。</w:t>
      </w:r>
    </w:p>
    <w:p w14:paraId="3304943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4EA017C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50DF2B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7D4855F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五、保修费用</w:t>
      </w:r>
    </w:p>
    <w:p w14:paraId="6BFC9F1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保修费用由造成质量缺陷的责任方承担。</w:t>
      </w:r>
    </w:p>
    <w:p w14:paraId="13BF5CF4">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、双方约定的其他工程质量保修事项：</w:t>
      </w:r>
    </w:p>
    <w:p w14:paraId="23A89CB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04D7034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509832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承包人(公章)：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DCA343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C86A36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74CAEA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ADFC27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3D70B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7DB685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613928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6FE4D0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F9C77E6">
      <w:pPr>
        <w:widowControl/>
        <w:jc w:val="left"/>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br w:type="page"/>
      </w:r>
    </w:p>
    <w:p w14:paraId="5F91D96A">
      <w:pPr>
        <w:spacing w:line="360" w:lineRule="auto"/>
        <w:ind w:firstLine="482" w:firstLineChars="200"/>
        <w:rPr>
          <w:rFonts w:ascii="宋体" w:hAnsi="宋体" w:eastAsia="宋体" w:cs="宋体"/>
          <w:b/>
          <w:bCs/>
          <w:color w:val="000000" w:themeColor="text1"/>
          <w:sz w:val="24"/>
          <w:szCs w:val="24"/>
          <w:highlight w:val="none"/>
          <w14:textFill>
            <w14:solidFill>
              <w14:schemeClr w14:val="tx1"/>
            </w14:solidFill>
          </w14:textFill>
        </w:rPr>
      </w:pPr>
    </w:p>
    <w:p w14:paraId="4B4D3C0C">
      <w:pPr>
        <w:spacing w:line="360" w:lineRule="auto"/>
        <w:ind w:firstLine="643" w:firstLineChars="200"/>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附件2</w:t>
      </w:r>
    </w:p>
    <w:p w14:paraId="46FEB7EB">
      <w:pPr>
        <w:spacing w:line="360" w:lineRule="auto"/>
        <w:ind w:firstLine="643" w:firstLineChars="200"/>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公 司 文 件</w:t>
      </w:r>
    </w:p>
    <w:p w14:paraId="39EBDA7B">
      <w:pPr>
        <w:tabs>
          <w:tab w:val="left" w:pos="2160"/>
        </w:tabs>
        <w:spacing w:line="360" w:lineRule="auto"/>
        <w:ind w:firstLine="643" w:firstLineChars="200"/>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关于成立××××工程项目经理部的决定</w:t>
      </w:r>
    </w:p>
    <w:p w14:paraId="14437A1B">
      <w:pPr>
        <w:tabs>
          <w:tab w:val="left" w:pos="2160"/>
        </w:tabs>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各有关单位：</w:t>
      </w:r>
    </w:p>
    <w:p w14:paraId="78945AE3">
      <w:pPr>
        <w:tabs>
          <w:tab w:val="left" w:pos="216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现决定任命×××同志为××××工程项目经理，负责我公司对该工程的现场管理工作，同时成立工程项目经理部，项目经理部人员名单如下：</w:t>
      </w:r>
    </w:p>
    <w:tbl>
      <w:tblPr>
        <w:tblStyle w:val="51"/>
        <w:tblW w:w="9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872"/>
        <w:gridCol w:w="900"/>
        <w:gridCol w:w="900"/>
        <w:gridCol w:w="1620"/>
        <w:gridCol w:w="1620"/>
        <w:gridCol w:w="1693"/>
      </w:tblGrid>
      <w:tr w14:paraId="183B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008" w:type="dxa"/>
            <w:vAlign w:val="center"/>
          </w:tcPr>
          <w:p w14:paraId="4436579B">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1872" w:type="dxa"/>
            <w:vAlign w:val="center"/>
          </w:tcPr>
          <w:p w14:paraId="6EC1048D">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tc>
        <w:tc>
          <w:tcPr>
            <w:tcW w:w="900" w:type="dxa"/>
            <w:vAlign w:val="center"/>
          </w:tcPr>
          <w:p w14:paraId="35DEF9EA">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900" w:type="dxa"/>
            <w:vAlign w:val="center"/>
          </w:tcPr>
          <w:p w14:paraId="7356807E">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专业</w:t>
            </w:r>
          </w:p>
        </w:tc>
        <w:tc>
          <w:tcPr>
            <w:tcW w:w="1620" w:type="dxa"/>
            <w:vAlign w:val="center"/>
          </w:tcPr>
          <w:p w14:paraId="2019CDA0">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执业证号</w:t>
            </w:r>
          </w:p>
        </w:tc>
        <w:tc>
          <w:tcPr>
            <w:tcW w:w="1620" w:type="dxa"/>
            <w:vAlign w:val="center"/>
          </w:tcPr>
          <w:p w14:paraId="5DAF4C5D">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工作职责</w:t>
            </w:r>
          </w:p>
        </w:tc>
        <w:tc>
          <w:tcPr>
            <w:tcW w:w="1693" w:type="dxa"/>
            <w:vAlign w:val="center"/>
          </w:tcPr>
          <w:p w14:paraId="02D759D9">
            <w:pPr>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本人签名</w:t>
            </w:r>
          </w:p>
        </w:tc>
      </w:tr>
      <w:tr w14:paraId="42AB7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104926A1">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1995C044">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项目经理</w:t>
            </w:r>
          </w:p>
        </w:tc>
        <w:tc>
          <w:tcPr>
            <w:tcW w:w="900" w:type="dxa"/>
            <w:vAlign w:val="center"/>
          </w:tcPr>
          <w:p w14:paraId="17F0414A">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3CCCA9C1">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7771A613">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2B8F68FF">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497827B1">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2445F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12BDECD0">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5B0EAD83">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tc>
        <w:tc>
          <w:tcPr>
            <w:tcW w:w="900" w:type="dxa"/>
            <w:vAlign w:val="center"/>
          </w:tcPr>
          <w:p w14:paraId="23DD02C4">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192EEEE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0B242B4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314928E5">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45F8A3E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2526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7342097D">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164AE5B5">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施工员</w:t>
            </w:r>
          </w:p>
        </w:tc>
        <w:tc>
          <w:tcPr>
            <w:tcW w:w="900" w:type="dxa"/>
            <w:vAlign w:val="center"/>
          </w:tcPr>
          <w:p w14:paraId="1C90A5DC">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324B95D4">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25A06B99">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75A7A0EA">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7DDA73A3">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4032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0EB7C639">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1992E532">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质检员</w:t>
            </w:r>
          </w:p>
        </w:tc>
        <w:tc>
          <w:tcPr>
            <w:tcW w:w="900" w:type="dxa"/>
            <w:vAlign w:val="center"/>
          </w:tcPr>
          <w:p w14:paraId="0397E8E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23301A8A">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1F93F6A4">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055FA5EB">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095240AA">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2863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2FB4B1BF">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067A5EB8">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安全员</w:t>
            </w:r>
          </w:p>
        </w:tc>
        <w:tc>
          <w:tcPr>
            <w:tcW w:w="900" w:type="dxa"/>
            <w:vAlign w:val="center"/>
          </w:tcPr>
          <w:p w14:paraId="121E7D6E">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13ACF3D0">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5E98D9A4">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1E3D0510">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76A103D1">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5C58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0490E637">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20BCC1D9">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54B2372D">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2116BB7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13B5A1A9">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07A2EF3B">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372DA8D0">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r w14:paraId="7035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Align w:val="center"/>
          </w:tcPr>
          <w:p w14:paraId="08565EF1">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872" w:type="dxa"/>
            <w:vAlign w:val="center"/>
          </w:tcPr>
          <w:p w14:paraId="6FCE8A3D">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3B7E5805">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900" w:type="dxa"/>
            <w:vAlign w:val="center"/>
          </w:tcPr>
          <w:p w14:paraId="6432AFC0">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541C6972">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20" w:type="dxa"/>
            <w:vAlign w:val="center"/>
          </w:tcPr>
          <w:p w14:paraId="710EA514">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c>
          <w:tcPr>
            <w:tcW w:w="1693" w:type="dxa"/>
            <w:vAlign w:val="center"/>
          </w:tcPr>
          <w:p w14:paraId="7173AF2E">
            <w:pPr>
              <w:spacing w:line="360" w:lineRule="auto"/>
              <w:ind w:firstLine="480" w:firstLineChars="200"/>
              <w:jc w:val="center"/>
              <w:rPr>
                <w:rFonts w:ascii="宋体" w:hAnsi="宋体" w:eastAsia="宋体" w:cs="宋体"/>
                <w:color w:val="000000" w:themeColor="text1"/>
                <w:sz w:val="24"/>
                <w:szCs w:val="24"/>
                <w:highlight w:val="none"/>
                <w14:textFill>
                  <w14:solidFill>
                    <w14:schemeClr w14:val="tx1"/>
                  </w14:solidFill>
                </w14:textFill>
              </w:rPr>
            </w:pPr>
          </w:p>
        </w:tc>
      </w:tr>
    </w:tbl>
    <w:p w14:paraId="0C2F8194">
      <w:pPr>
        <w:tabs>
          <w:tab w:val="left" w:pos="216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特此通知</w:t>
      </w:r>
    </w:p>
    <w:p w14:paraId="608F7C4F">
      <w:pPr>
        <w:tabs>
          <w:tab w:val="left" w:pos="216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（盖章）</w:t>
      </w:r>
    </w:p>
    <w:p w14:paraId="64CEEEF8">
      <w:pPr>
        <w:tabs>
          <w:tab w:val="left" w:pos="216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××××年×月×日</w:t>
      </w:r>
    </w:p>
    <w:p w14:paraId="08AE1FD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357D331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2C8A9AE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4B271946">
      <w:pPr>
        <w:pStyle w:val="2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b/>
      </w:r>
    </w:p>
    <w:p w14:paraId="138B6F60">
      <w:pPr>
        <w:pStyle w:val="239"/>
        <w:rPr>
          <w:color w:val="000000" w:themeColor="text1"/>
          <w:highlight w:val="none"/>
          <w14:textFill>
            <w14:solidFill>
              <w14:schemeClr w14:val="tx1"/>
            </w14:solidFill>
          </w14:textFill>
        </w:rPr>
      </w:pPr>
    </w:p>
    <w:p w14:paraId="35DAA34A">
      <w:pPr>
        <w:pStyle w:val="239"/>
        <w:rPr>
          <w:color w:val="000000" w:themeColor="text1"/>
          <w:highlight w:val="none"/>
          <w14:textFill>
            <w14:solidFill>
              <w14:schemeClr w14:val="tx1"/>
            </w14:solidFill>
          </w14:textFill>
        </w:rPr>
      </w:pPr>
    </w:p>
    <w:p w14:paraId="4B79D806">
      <w:pPr>
        <w:pStyle w:val="239"/>
        <w:rPr>
          <w:color w:val="000000" w:themeColor="text1"/>
          <w:highlight w:val="none"/>
          <w14:textFill>
            <w14:solidFill>
              <w14:schemeClr w14:val="tx1"/>
            </w14:solidFill>
          </w14:textFill>
        </w:rPr>
      </w:pPr>
    </w:p>
    <w:p w14:paraId="706EF9C9">
      <w:pPr>
        <w:spacing w:line="360" w:lineRule="auto"/>
        <w:ind w:firstLine="640" w:firstLineChars="200"/>
        <w:rPr>
          <w:rFonts w:ascii="宋体" w:hAnsi="宋体" w:eastAsia="宋体" w:cs="宋体"/>
          <w:color w:val="000000" w:themeColor="text1"/>
          <w:sz w:val="32"/>
          <w:szCs w:val="32"/>
          <w:highlight w:val="none"/>
          <w14:textFill>
            <w14:solidFill>
              <w14:schemeClr w14:val="tx1"/>
            </w14:solidFill>
          </w14:textFill>
        </w:rPr>
      </w:pPr>
    </w:p>
    <w:p w14:paraId="4CD8CF81">
      <w:pPr>
        <w:spacing w:line="360" w:lineRule="auto"/>
        <w:ind w:firstLine="640" w:firstLineChars="200"/>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附件3：</w:t>
      </w:r>
    </w:p>
    <w:p w14:paraId="7E1C4DB6">
      <w:pPr>
        <w:spacing w:line="360" w:lineRule="auto"/>
        <w:ind w:firstLine="643" w:firstLineChars="200"/>
        <w:jc w:val="cente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安全生产合同</w:t>
      </w:r>
    </w:p>
    <w:p w14:paraId="7EAD828E">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7E9699C7">
      <w:pPr>
        <w:spacing w:line="360" w:lineRule="auto"/>
        <w:ind w:firstLine="482" w:firstLineChars="200"/>
        <w:rPr>
          <w:rFonts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2DC6275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为在施工合同的实施过程中创造安全、高效的施工环境，切实搞好本项目的安全管理工作，本项目发包人与承包人特此签订安全生产合同：</w:t>
      </w:r>
    </w:p>
    <w:p w14:paraId="6ABAE28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1.发包人职责</w:t>
      </w:r>
    </w:p>
    <w:p w14:paraId="78CF284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663170E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566D02F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269DE07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721E90B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（5）组织对承包人施工现场安全生产检查，监督承包人及时处理发现的各种安全隐患。</w:t>
      </w:r>
    </w:p>
    <w:p w14:paraId="23CBDA1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2.承包人职责</w:t>
      </w:r>
    </w:p>
    <w:p w14:paraId="557F2A2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（1）严格遵守《中华人民共和国安全生产法》、《建设工程安全生产管理条例》《连云港市城市建设导则(试行）》等有关安全生产的法律法规。认真执行工程承包合同中的有关安全要求。</w:t>
      </w:r>
    </w:p>
    <w:p w14:paraId="2D69903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0F7AC6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482D731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（4）承包人在任何时候都应采取各种合理的预防措施，防止其员工发生任何违法、违禁、暴力或妨碍治安的行为。</w:t>
      </w:r>
    </w:p>
    <w:p w14:paraId="3B126F6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3F5FB2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F91331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3BB7F5D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493F6F9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65AF5FD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04F439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（11）安全生产费用按照相关规定使用和管理。</w:t>
      </w:r>
    </w:p>
    <w:p w14:paraId="0DAE64C1">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3.违约责任</w:t>
      </w:r>
    </w:p>
    <w:p w14:paraId="5E47022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如因发包人或承包人违约造成安全事故，将依法追究责任。</w:t>
      </w:r>
    </w:p>
    <w:p w14:paraId="59F8A40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4.本合同自双方均加盖公章并签字后生效。</w:t>
      </w:r>
    </w:p>
    <w:p w14:paraId="59D75AF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5.本合同正本—式</w:t>
      </w:r>
      <w:r>
        <w:rPr>
          <w:rFonts w:hint="eastAsia" w:ascii="宋体" w:hAnsi="宋体" w:eastAsia="宋体" w:cs="宋体"/>
          <w:b/>
          <w:color w:val="000000" w:themeColor="text1"/>
          <w:sz w:val="24"/>
          <w:szCs w:val="24"/>
          <w:highlight w:val="none"/>
          <w:u w:val="single"/>
          <w14:textFill>
            <w14:solidFill>
              <w14:schemeClr w14:val="tx1"/>
            </w14:solidFill>
          </w14:textFill>
        </w:rPr>
        <w:t>陆</w:t>
      </w:r>
      <w:r>
        <w:rPr>
          <w:rFonts w:hint="eastAsia" w:ascii="宋体" w:hAnsi="宋体" w:eastAsia="宋体" w:cs="宋体"/>
          <w:color w:val="000000" w:themeColor="text1"/>
          <w:sz w:val="24"/>
          <w:szCs w:val="24"/>
          <w:highlight w:val="none"/>
          <w14:textFill>
            <w14:solidFill>
              <w14:schemeClr w14:val="tx1"/>
            </w14:solidFill>
          </w14:textFill>
        </w:rPr>
        <w:t>份，合同双方各执</w:t>
      </w:r>
      <w:r>
        <w:rPr>
          <w:rFonts w:hint="eastAsia" w:ascii="宋体" w:hAnsi="宋体" w:eastAsia="宋体" w:cs="宋体"/>
          <w:b/>
          <w:color w:val="000000" w:themeColor="text1"/>
          <w:sz w:val="24"/>
          <w:szCs w:val="24"/>
          <w:highlight w:val="none"/>
          <w:u w:val="single"/>
          <w14:textFill>
            <w14:solidFill>
              <w14:schemeClr w14:val="tx1"/>
            </w14:solidFill>
          </w14:textFill>
        </w:rPr>
        <w:t>叁</w:t>
      </w:r>
      <w:r>
        <w:rPr>
          <w:rFonts w:hint="eastAsia" w:ascii="宋体" w:hAnsi="宋体" w:eastAsia="宋体" w:cs="宋体"/>
          <w:color w:val="000000" w:themeColor="text1"/>
          <w:sz w:val="24"/>
          <w:szCs w:val="24"/>
          <w:highlight w:val="none"/>
          <w14:textFill>
            <w14:solidFill>
              <w14:schemeClr w14:val="tx1"/>
            </w14:solidFill>
          </w14:textFill>
        </w:rPr>
        <w:t>份。</w:t>
      </w:r>
    </w:p>
    <w:p w14:paraId="5EFFB73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发包人：（盖单位章）                   承包人：（盖单位章） </w:t>
      </w:r>
    </w:p>
    <w:p w14:paraId="4C586FB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法定代表人：（签章）                   法定代表人：（签章）</w:t>
      </w:r>
    </w:p>
    <w:p w14:paraId="62F1963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年月日                                  年月 日</w:t>
      </w:r>
      <w:bookmarkEnd w:id="27"/>
      <w:bookmarkEnd w:id="28"/>
      <w:bookmarkEnd w:id="29"/>
      <w:bookmarkEnd w:id="30"/>
      <w:bookmarkEnd w:id="31"/>
      <w:bookmarkEnd w:id="32"/>
      <w:bookmarkEnd w:id="33"/>
      <w:bookmarkEnd w:id="34"/>
      <w:bookmarkEnd w:id="35"/>
    </w:p>
    <w:p w14:paraId="7FAA633A">
      <w:pPr>
        <w:rPr>
          <w:rFonts w:ascii="Times New Roman" w:hAnsi="Times New Roman" w:eastAsia="黑体" w:cs="Times New Roman"/>
          <w:b/>
          <w:bCs/>
          <w:color w:val="000000" w:themeColor="text1"/>
          <w:sz w:val="32"/>
          <w:szCs w:val="32"/>
          <w:highlight w:val="none"/>
          <w14:textFill>
            <w14:solidFill>
              <w14:schemeClr w14:val="tx1"/>
            </w14:solidFill>
          </w14:textFill>
        </w:rPr>
      </w:pPr>
    </w:p>
    <w:p w14:paraId="02B14BA2">
      <w:pPr>
        <w:spacing w:line="360" w:lineRule="auto"/>
        <w:jc w:val="center"/>
        <w:outlineLvl w:val="0"/>
        <w:rPr>
          <w:rFonts w:ascii="Times New Roman" w:hAnsi="Times New Roman" w:eastAsia="黑体" w:cs="Times New Roman"/>
          <w:b/>
          <w:bCs/>
          <w:color w:val="000000" w:themeColor="text1"/>
          <w:sz w:val="32"/>
          <w:szCs w:val="32"/>
          <w:highlight w:val="none"/>
          <w14:textFill>
            <w14:solidFill>
              <w14:schemeClr w14:val="tx1"/>
            </w14:solidFill>
          </w14:textFill>
        </w:rPr>
      </w:pPr>
      <w:r>
        <w:rPr>
          <w:rFonts w:ascii="Times New Roman" w:hAnsi="Times New Roman" w:eastAsia="黑体" w:cs="Times New Roman"/>
          <w:b/>
          <w:bCs/>
          <w:color w:val="000000" w:themeColor="text1"/>
          <w:sz w:val="32"/>
          <w:szCs w:val="32"/>
          <w:highlight w:val="none"/>
          <w14:textFill>
            <w14:solidFill>
              <w14:schemeClr w14:val="tx1"/>
            </w14:solidFill>
          </w14:textFill>
        </w:rPr>
        <w:t>第四章</w:t>
      </w:r>
      <w:r>
        <w:rPr>
          <w:rFonts w:hint="eastAsia" w:ascii="Times New Roman" w:hAnsi="Times New Roman" w:eastAsia="黑体" w:cs="Times New Roman"/>
          <w:b/>
          <w:bCs/>
          <w:color w:val="000000" w:themeColor="text1"/>
          <w:sz w:val="32"/>
          <w:szCs w:val="32"/>
          <w:highlight w:val="none"/>
          <w14:textFill>
            <w14:solidFill>
              <w14:schemeClr w14:val="tx1"/>
            </w14:solidFill>
          </w14:textFill>
        </w:rPr>
        <w:t xml:space="preserve"> </w:t>
      </w:r>
      <w:r>
        <w:rPr>
          <w:rFonts w:ascii="Times New Roman" w:hAnsi="Times New Roman" w:eastAsia="黑体" w:cs="Times New Roman"/>
          <w:b/>
          <w:bCs/>
          <w:color w:val="000000" w:themeColor="text1"/>
          <w:sz w:val="32"/>
          <w:szCs w:val="32"/>
          <w:highlight w:val="none"/>
          <w14:textFill>
            <w14:solidFill>
              <w14:schemeClr w14:val="tx1"/>
            </w14:solidFill>
          </w14:textFill>
        </w:rPr>
        <w:t>工程量清单</w:t>
      </w:r>
    </w:p>
    <w:p w14:paraId="12067403">
      <w:pPr>
        <w:spacing w:line="360" w:lineRule="auto"/>
        <w:ind w:firstLine="480"/>
        <w:outlineLvl w:val="2"/>
        <w:rPr>
          <w:rFonts w:ascii="Times New Roman" w:hAnsi="Times New Roman" w:eastAsia="宋体" w:cs="Times New Roman"/>
          <w:bCs/>
          <w:color w:val="000000" w:themeColor="text1"/>
          <w:sz w:val="24"/>
          <w:szCs w:val="32"/>
          <w:highlight w:val="none"/>
          <w14:textFill>
            <w14:solidFill>
              <w14:schemeClr w14:val="tx1"/>
            </w14:solidFill>
          </w14:textFill>
        </w:rPr>
      </w:pPr>
      <w:bookmarkStart w:id="37" w:name="_Toc513149128"/>
      <w:bookmarkStart w:id="38" w:name="_Toc473034406"/>
      <w:r>
        <w:rPr>
          <w:rFonts w:ascii="Times New Roman" w:hAnsi="Times New Roman" w:eastAsia="宋体" w:cs="Times New Roman"/>
          <w:bCs/>
          <w:color w:val="000000" w:themeColor="text1"/>
          <w:sz w:val="24"/>
          <w:szCs w:val="32"/>
          <w:highlight w:val="none"/>
          <w14:textFill>
            <w14:solidFill>
              <w14:schemeClr w14:val="tx1"/>
            </w14:solidFill>
          </w14:textFill>
        </w:rPr>
        <w:t>1</w:t>
      </w:r>
      <w:r>
        <w:rPr>
          <w:rFonts w:hint="eastAsia" w:ascii="Times New Roman" w:hAnsi="Times New Roman" w:eastAsia="宋体" w:cs="Times New Roman"/>
          <w:bCs/>
          <w:color w:val="000000" w:themeColor="text1"/>
          <w:sz w:val="24"/>
          <w:szCs w:val="32"/>
          <w:highlight w:val="none"/>
          <w14:textFill>
            <w14:solidFill>
              <w14:schemeClr w14:val="tx1"/>
            </w14:solidFill>
          </w14:textFill>
        </w:rPr>
        <w:t>．工程量清单编制说明</w:t>
      </w:r>
      <w:bookmarkEnd w:id="37"/>
      <w:bookmarkEnd w:id="38"/>
    </w:p>
    <w:p w14:paraId="7450AECD">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1.1</w:t>
      </w:r>
      <w:r>
        <w:rPr>
          <w:rFonts w:hint="eastAsia" w:ascii="Calibri" w:hAnsi="Calibri" w:eastAsia="宋体" w:cs="Times New Roman"/>
          <w:color w:val="000000" w:themeColor="text1"/>
          <w:sz w:val="24"/>
          <w:highlight w:val="none"/>
          <w14:textFill>
            <w14:solidFill>
              <w14:schemeClr w14:val="tx1"/>
            </w14:solidFill>
          </w14:textFill>
        </w:rPr>
        <w:t>本工程量清单是依据现行国家标准《建设工程工程量清单计价规范》</w:t>
      </w:r>
      <w:r>
        <w:rPr>
          <w:rFonts w:ascii="Calibri" w:hAnsi="Calibri" w:eastAsia="宋体" w:cs="Times New Roman"/>
          <w:color w:val="000000" w:themeColor="text1"/>
          <w:sz w:val="24"/>
          <w:highlight w:val="none"/>
          <w14:textFill>
            <w14:solidFill>
              <w14:schemeClr w14:val="tx1"/>
            </w14:solidFill>
          </w14:textFill>
        </w:rPr>
        <w:t>(GB50500-2013)</w:t>
      </w:r>
      <w:r>
        <w:rPr>
          <w:rFonts w:hint="eastAsia" w:ascii="Calibri" w:hAnsi="Calibri" w:eastAsia="宋体" w:cs="Times New Roman"/>
          <w:color w:val="000000" w:themeColor="text1"/>
          <w:sz w:val="24"/>
          <w:highlight w:val="none"/>
          <w14:textFill>
            <w14:solidFill>
              <w14:schemeClr w14:val="tx1"/>
            </w14:solidFill>
          </w14:textFill>
        </w:rPr>
        <w:t>及其9本计算规范</w:t>
      </w:r>
      <w:r>
        <w:rPr>
          <w:rFonts w:ascii="Calibri" w:hAnsi="Calibri" w:eastAsia="宋体" w:cs="Times New Roman"/>
          <w:color w:val="000000" w:themeColor="text1"/>
          <w:sz w:val="24"/>
          <w:highlight w:val="none"/>
          <w14:textFill>
            <w14:solidFill>
              <w14:schemeClr w14:val="tx1"/>
            </w14:solidFill>
          </w14:textFill>
        </w:rPr>
        <w:t>(</w:t>
      </w:r>
      <w:r>
        <w:rPr>
          <w:rFonts w:hint="eastAsia" w:ascii="Calibri" w:hAnsi="Calibri" w:eastAsia="宋体" w:cs="Times New Roman"/>
          <w:color w:val="000000" w:themeColor="text1"/>
          <w:sz w:val="24"/>
          <w:highlight w:val="none"/>
          <w14:textFill>
            <w14:solidFill>
              <w14:schemeClr w14:val="tx1"/>
            </w14:solidFill>
          </w14:textFill>
        </w:rPr>
        <w:t>以下简称“计价规范”</w:t>
      </w:r>
      <w:r>
        <w:rPr>
          <w:rFonts w:ascii="Calibri" w:hAnsi="Calibri" w:eastAsia="宋体" w:cs="Times New Roman"/>
          <w:color w:val="000000" w:themeColor="text1"/>
          <w:sz w:val="24"/>
          <w:highlight w:val="none"/>
          <w14:textFill>
            <w14:solidFill>
              <w14:schemeClr w14:val="tx1"/>
            </w14:solidFill>
          </w14:textFill>
        </w:rPr>
        <w:t>)</w:t>
      </w:r>
      <w:r>
        <w:rPr>
          <w:rFonts w:hint="eastAsia" w:ascii="Calibri" w:hAnsi="Calibri" w:eastAsia="宋体" w:cs="Times New Roman"/>
          <w:color w:val="000000" w:themeColor="text1"/>
          <w:sz w:val="24"/>
          <w:highlight w:val="none"/>
          <w14:textFill>
            <w14:solidFill>
              <w14:schemeClr w14:val="tx1"/>
            </w14:solidFill>
          </w14:textFill>
        </w:rPr>
        <w:t>、地方规定以及采购文件中包括的图纸等编制。</w:t>
      </w:r>
    </w:p>
    <w:p w14:paraId="01BC5BB3">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1.2</w:t>
      </w:r>
      <w:r>
        <w:rPr>
          <w:rFonts w:hint="eastAsia" w:ascii="Calibri" w:hAnsi="Calibri" w:eastAsia="宋体" w:cs="Times New Roman"/>
          <w:color w:val="000000" w:themeColor="text1"/>
          <w:sz w:val="24"/>
          <w:highlight w:val="none"/>
          <w14:textFill>
            <w14:solidFill>
              <w14:schemeClr w14:val="tx1"/>
            </w14:solidFill>
          </w14:textFill>
        </w:rPr>
        <w:t>本工程量清单应与采购文件中的须知、通用合同条款、专用合同条款、技术标准和要求及图纸等章节内容一起阅读和理解。</w:t>
      </w:r>
    </w:p>
    <w:p w14:paraId="07F02AA5">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1.3</w:t>
      </w:r>
      <w:r>
        <w:rPr>
          <w:rFonts w:hint="eastAsia" w:ascii="Calibri" w:hAnsi="Calibri" w:eastAsia="宋体" w:cs="Times New Roman"/>
          <w:color w:val="000000" w:themeColor="text1"/>
          <w:sz w:val="24"/>
          <w:highlight w:val="none"/>
          <w14:textFill>
            <w14:solidFill>
              <w14:schemeClr w14:val="tx1"/>
            </w14:solidFill>
          </w14:textFill>
        </w:rPr>
        <w:t>本工程量清单仅是投标报价的共同基础，竣工结算的工程量按合同约定确定。合同价格的确定以及价款支付应遵循合同条款</w:t>
      </w:r>
      <w:r>
        <w:rPr>
          <w:rFonts w:ascii="Calibri" w:hAnsi="Calibri" w:eastAsia="宋体" w:cs="Times New Roman"/>
          <w:color w:val="000000" w:themeColor="text1"/>
          <w:sz w:val="24"/>
          <w:highlight w:val="none"/>
          <w14:textFill>
            <w14:solidFill>
              <w14:schemeClr w14:val="tx1"/>
            </w14:solidFill>
          </w14:textFill>
        </w:rPr>
        <w:t>(</w:t>
      </w:r>
      <w:r>
        <w:rPr>
          <w:rFonts w:hint="eastAsia" w:ascii="Calibri" w:hAnsi="Calibri" w:eastAsia="宋体" w:cs="Times New Roman"/>
          <w:color w:val="000000" w:themeColor="text1"/>
          <w:sz w:val="24"/>
          <w:highlight w:val="none"/>
          <w14:textFill>
            <w14:solidFill>
              <w14:schemeClr w14:val="tx1"/>
            </w14:solidFill>
          </w14:textFill>
        </w:rPr>
        <w:t>包括通用合同条款和专用合同条款</w:t>
      </w:r>
      <w:r>
        <w:rPr>
          <w:rFonts w:ascii="Calibri" w:hAnsi="Calibri" w:eastAsia="宋体" w:cs="Times New Roman"/>
          <w:color w:val="000000" w:themeColor="text1"/>
          <w:sz w:val="24"/>
          <w:highlight w:val="none"/>
          <w14:textFill>
            <w14:solidFill>
              <w14:schemeClr w14:val="tx1"/>
            </w14:solidFill>
          </w14:textFill>
        </w:rPr>
        <w:t>)</w:t>
      </w:r>
      <w:r>
        <w:rPr>
          <w:rFonts w:hint="eastAsia" w:ascii="Calibri" w:hAnsi="Calibri" w:eastAsia="宋体" w:cs="Times New Roman"/>
          <w:color w:val="000000" w:themeColor="text1"/>
          <w:sz w:val="24"/>
          <w:highlight w:val="none"/>
          <w14:textFill>
            <w14:solidFill>
              <w14:schemeClr w14:val="tx1"/>
            </w14:solidFill>
          </w14:textFill>
        </w:rPr>
        <w:t>、技术标准和要求以及本章的有关约定。</w:t>
      </w:r>
    </w:p>
    <w:p w14:paraId="1A0564C5">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1.4</w:t>
      </w:r>
      <w:r>
        <w:rPr>
          <w:rFonts w:hint="eastAsia" w:ascii="Calibri" w:hAnsi="Calibri" w:eastAsia="宋体" w:cs="Times New Roman"/>
          <w:color w:val="000000" w:themeColor="text1"/>
          <w:sz w:val="24"/>
          <w:highlight w:val="none"/>
          <w14:textFill>
            <w14:solidFill>
              <w14:schemeClr w14:val="tx1"/>
            </w14:solidFill>
          </w14:textFill>
        </w:rPr>
        <w:t>本条第</w:t>
      </w:r>
      <w:r>
        <w:rPr>
          <w:rFonts w:ascii="Calibri" w:hAnsi="Calibri" w:eastAsia="宋体" w:cs="Times New Roman"/>
          <w:color w:val="000000" w:themeColor="text1"/>
          <w:sz w:val="24"/>
          <w:highlight w:val="none"/>
          <w14:textFill>
            <w14:solidFill>
              <w14:schemeClr w14:val="tx1"/>
            </w14:solidFill>
          </w14:textFill>
        </w:rPr>
        <w:t>1.1</w:t>
      </w:r>
      <w:r>
        <w:rPr>
          <w:rFonts w:hint="eastAsia" w:ascii="Calibri" w:hAnsi="Calibri" w:eastAsia="宋体" w:cs="Times New Roman"/>
          <w:color w:val="000000" w:themeColor="text1"/>
          <w:sz w:val="24"/>
          <w:highlight w:val="none"/>
          <w14:textFill>
            <w14:solidFill>
              <w14:schemeClr w14:val="tx1"/>
            </w14:solidFill>
          </w14:textFill>
        </w:rPr>
        <w:t>款中约定的计量和计价规则适用于合同履约过程中工程量计量与价款支付、工程变更、索赔和工程结算。</w:t>
      </w:r>
    </w:p>
    <w:p w14:paraId="4EB83E1D">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1.5</w:t>
      </w:r>
      <w:r>
        <w:rPr>
          <w:rFonts w:hint="eastAsia" w:ascii="Calibri" w:hAnsi="Calibri" w:eastAsia="宋体" w:cs="Times New Roman"/>
          <w:color w:val="000000" w:themeColor="text1"/>
          <w:sz w:val="24"/>
          <w:highlight w:val="none"/>
          <w14:textFill>
            <w14:solidFill>
              <w14:schemeClr w14:val="tx1"/>
            </w14:solidFill>
          </w14:textFill>
        </w:rPr>
        <w:t>本条与本章第</w:t>
      </w:r>
      <w:r>
        <w:rPr>
          <w:rFonts w:ascii="Calibri" w:hAnsi="Calibri" w:eastAsia="宋体" w:cs="Times New Roman"/>
          <w:color w:val="000000" w:themeColor="text1"/>
          <w:sz w:val="24"/>
          <w:highlight w:val="none"/>
          <w14:textFill>
            <w14:solidFill>
              <w14:schemeClr w14:val="tx1"/>
            </w14:solidFill>
          </w14:textFill>
        </w:rPr>
        <w:t>2</w:t>
      </w:r>
      <w:r>
        <w:rPr>
          <w:rFonts w:hint="eastAsia" w:ascii="Calibri" w:hAnsi="Calibri" w:eastAsia="宋体" w:cs="Times New Roman"/>
          <w:color w:val="000000" w:themeColor="text1"/>
          <w:sz w:val="24"/>
          <w:highlight w:val="none"/>
          <w14:textFill>
            <w14:solidFill>
              <w14:schemeClr w14:val="tx1"/>
            </w14:solidFill>
          </w14:textFill>
        </w:rPr>
        <w:t>条说明内容是构成合同文件的已标价工程量清单的组成部分。</w:t>
      </w:r>
    </w:p>
    <w:p w14:paraId="54A7610C">
      <w:pPr>
        <w:spacing w:line="360" w:lineRule="auto"/>
        <w:ind w:left="-4" w:firstLine="410"/>
        <w:rPr>
          <w:rFonts w:ascii="Calibri" w:hAnsi="Calibri" w:eastAsia="宋体" w:cs="Times New Roman"/>
          <w:color w:val="000000" w:themeColor="text1"/>
          <w:sz w:val="24"/>
          <w:highlight w:val="none"/>
          <w14:textFill>
            <w14:solidFill>
              <w14:schemeClr w14:val="tx1"/>
            </w14:solidFill>
          </w14:textFill>
        </w:rPr>
      </w:pPr>
      <w:r>
        <w:rPr>
          <w:rFonts w:ascii="Calibri" w:hAnsi="Calibri" w:eastAsia="宋体" w:cs="Times New Roman"/>
          <w:color w:val="000000" w:themeColor="text1"/>
          <w:sz w:val="24"/>
          <w:highlight w:val="none"/>
          <w14:textFill>
            <w14:solidFill>
              <w14:schemeClr w14:val="tx1"/>
            </w14:solidFill>
          </w14:textFill>
        </w:rPr>
        <w:t>2</w:t>
      </w:r>
      <w:r>
        <w:rPr>
          <w:rFonts w:hint="eastAsia" w:ascii="Calibri" w:hAnsi="Calibri" w:eastAsia="宋体" w:cs="Times New Roman"/>
          <w:color w:val="000000" w:themeColor="text1"/>
          <w:sz w:val="24"/>
          <w:highlight w:val="none"/>
          <w14:textFill>
            <w14:solidFill>
              <w14:schemeClr w14:val="tx1"/>
            </w14:solidFill>
          </w14:textFill>
        </w:rPr>
        <w:t>．投标报价编制</w:t>
      </w:r>
    </w:p>
    <w:p w14:paraId="46E356AB">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r>
        <w:rPr>
          <w:rFonts w:hint="eastAsia" w:ascii="宋体" w:hAnsi="宋体" w:eastAsia="宋体" w:cs="宋体"/>
          <w:b/>
          <w:color w:val="000000" w:themeColor="text1"/>
          <w:sz w:val="24"/>
          <w:szCs w:val="24"/>
          <w:highlight w:val="none"/>
          <w14:textFill>
            <w14:solidFill>
              <w14:schemeClr w14:val="tx1"/>
            </w14:solidFill>
          </w14:textFill>
        </w:rPr>
        <w:t>本工程采用“固定全费用单价合同”。</w:t>
      </w:r>
      <w:r>
        <w:rPr>
          <w:rFonts w:hint="eastAsia" w:ascii="宋体" w:hAnsi="宋体" w:eastAsia="宋体" w:cs="宋体"/>
          <w:color w:val="000000" w:themeColor="text1"/>
          <w:sz w:val="24"/>
          <w:szCs w:val="24"/>
          <w:highlight w:val="none"/>
          <w14:textFill>
            <w14:solidFill>
              <w14:schemeClr w14:val="tx1"/>
            </w14:solidFill>
          </w14:textFill>
        </w:rPr>
        <w:t xml:space="preserve">已包含了施工期间的一定幅度市场风险等。该种合同概念：投标的总报价不作为合同要求和具体结算依据，招投标双方签定以单价为结算依据的合同条款，进行结算时，清单项目的综合单价不发生任何变化，只根据工程量的变化来调整最后结算总价。实际施工中若工程量清单数量与实物工程量不符，数量以实物工程量为准。 </w:t>
      </w:r>
    </w:p>
    <w:p w14:paraId="531FE26B">
      <w:pPr>
        <w:tabs>
          <w:tab w:val="left" w:pos="0"/>
        </w:tabs>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本次采购采用竞争性磋商，因第二轮报价只报总价，结算时各分项最终结算价，以成交人提交的综合单价同比下浮【下浮率=（1-第二轮报价/第一轮报价）*100% 】。   </w:t>
      </w:r>
    </w:p>
    <w:p w14:paraId="57E39801">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住房和城乡建设部第1567、1568、1571、1569、1576、1575、1570、1572、1573、1574号公告以及相关规定，本工程的投标报价和竣工结算的计价方式均采用工程量清单计价方式，执行标准为建设部2012年12月25日发布的《建设工程工程量清单计价规范》GB50500-2013及省市有关文件规定。</w:t>
      </w:r>
    </w:p>
    <w:p w14:paraId="5E8599ED">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招标人提供的工程量清单作为招标文件的组成部分，招标人不能保证所提供的工程量清单（包括但不限于分部分项工程量清单和单价措施项目清单）中的清单项目的完整性和工程量的准确性。清单项目的完整性和工程量的准确性由招标人负责。投标人应根据本招标工程的工程量清单进行投标报价，对工程量清单不负有核实的义务，更不具有修改和调整的权力。投标人应根据本招标工程的工程量清单填报价格，填写的项目编码、项目名称、项目特征、计量单位、工程量必须与招标人提供的一致。</w:t>
      </w:r>
    </w:p>
    <w:p w14:paraId="0FC6D7A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2.3投标人应根据本招标工程的具体情况和投标人的自身情况，制定施工组织设计和施工方案，一次性、完整地报出本招标工程的措施项目费。</w:t>
      </w:r>
    </w:p>
    <w:p w14:paraId="408A0530">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投标人的投标报价，应是招标范围及工期的全部，不得以任何理由予以重复，作为投标人计算单价或总价的依据。投标人对投标报价的任何优惠（或降价、让利）均应反映在相应清单项目的综合单价中。投标人不得以自有机械闲置、自有材料等不计成本为由进行投标报价。投标价格须以人民币为货币单位。</w:t>
      </w:r>
    </w:p>
    <w:p w14:paraId="4B19BCE1">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投标人应根据本招标文件的规定、市场生产要素价格水平及其走势、投标人自身的管理水平和实力、投标人为本工程准备的施工组织设计和由这些因素决定的投标人之于本工程的成本水平等准备自己的投标价格。</w:t>
      </w:r>
    </w:p>
    <w:p w14:paraId="504FB2F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 投标人所报的各项综合单价将产生合同效力，这类综合单价将被用于工程施工过程中对同样的和类似的工程设计变更的计价。</w:t>
      </w:r>
    </w:p>
    <w:p w14:paraId="7C9DDDC4">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暂列金额是招标人在工程量清单中暂定并包括在合同价款中的一笔款项。用于工程合同签订时尚未确定或不可预见的所需材料、工程设备、服务的采购，施工过程中可能发生的工程变更、合同约定调整因素出现时的合同价款调整以及发生的索赔、现场签证等确认的费用。</w:t>
      </w:r>
    </w:p>
    <w:p w14:paraId="786E16D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暂估价是招标人在工程量清单中提供的用于支付必然发生但暂时不能确定价格的材料、工程设备的单价以及专业工程的金额。清单中材料暂估价为甲控乙购材料，投标报价时按材料暂估价格表规定的材料单价报出综合单价。招标人暂定的材料品种、规格及价格，投标报价时不得改变。竣工结算时，其实际价格按甲方确认的单价进行调整，价差除计取税金外，其他费用不再计取。</w:t>
      </w:r>
    </w:p>
    <w:p w14:paraId="014B1F0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所有暂定价材料（甲控乙购材料）价格均为到工地卸车价。暂定价材料（甲控乙购材料）二次搬运及现场保管、清理等发生的费用，由投标人在投标报价中自行考虑。</w:t>
      </w:r>
    </w:p>
    <w:p w14:paraId="04AE55FE">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 总承包服务费是为了解决招标人在法律、法规允许的条件下进行的专业工程发包及自行采购材料、工程设备时，要求总承包人对专业工程提供服务、支持、协调和配合及对发包人自行采购的材料、设备等进行保管所产生的费用。</w:t>
      </w:r>
    </w:p>
    <w:p w14:paraId="64B7CE7B">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2.10投标报价的全费用综合单价是完成工程量清单中一个规定计量单位项目所需的人工费、材料和工程设备费、施工机具使用费和企业管理费、利润、规费、税金以及一定范围内的市场风险费用。投标人所报的综合单价将贯穿于投标报价、工程款支付、洽商处理和竣工结算的始终。除非本招标工程另有约定，均不得调整。</w:t>
      </w:r>
    </w:p>
    <w:p w14:paraId="188C7379">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2.11招标人提供的暂列金额、暂估价在投标报价时不得下浮,在竣工结算时按实际发生调整，其他材料设备价格全部按市场价报价。</w:t>
      </w:r>
    </w:p>
    <w:p w14:paraId="49315A01">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 本工程技术规范要求高于国家标准的，按相应的规范执行；没有明确标准的，按国家标准或省属地标准执行。</w:t>
      </w:r>
    </w:p>
    <w:p w14:paraId="621A57E8">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2.13 除非招标人对招标文件予以修改，投标人应按照招标人提供的工程量清单中列出的工程项目和工程量填报单价和合价。每一项目只允许有一个报价。任何有选择的报价将不予接受。投标人未填单价和合价的工程项目，在实施后，招标人将不予支付，并视为该项费用已包括在其他有价款的单价或合价中。</w:t>
      </w:r>
    </w:p>
    <w:p w14:paraId="1608951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2.14投标人应踏勘现场以充分了解工地位置、情况、储存空间、装卸限制及任何其他足以影响承包价的情况（如建筑垃圾清运出场、临时设施的搭建等），任何因忽视或误解工地情况而导致的索赔或工期延长申请将不被批准，涉及到的费用均需包含在投标总价中，以后不作调整。</w:t>
      </w:r>
    </w:p>
    <w:p w14:paraId="27FE495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2.15对于施工场地内的地下障碍物的清理及周围的地下管线的保护（除遇不可抗力因素，如战争、地震、名木古树、地下文物等），投标人应根据自身的施工技术能力并考虑其施工风险，将此费用考虑在投标报价中，一旦中标此项费用在施工中不予调整，中标人有责任采取保护措施，否则承担造成的一切责任及相应费用。</w:t>
      </w:r>
    </w:p>
    <w:p w14:paraId="73C5B70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2.16投标人应遵守政府有关主管部门对施工场地及周边建筑排污、渣土、环保（含施工噪音、施工粉尘）、环卫、市容、城建、治安、交管、人口管理以及安全生产等的管理规定，如需要发生上述相关费用，应按政府及有关主管部门规定缴纳上述各项费用，办理相关手续，并以书面形式将办理结果通知发包人。投标人应将办理上述事项的费用综合考虑在投标报价中，今后不做调整。</w:t>
      </w:r>
    </w:p>
    <w:p w14:paraId="745B197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2.17投标人应自行考虑施工组织设计中材料和构件的二次搬运、非甲方所为四小时内的临时停水停电、环保噪音扰民、连续降雨（严重冰冻）、镇内重大活动期间以及业主需要的时间段内可能对施工作出某些限制和配合要求引起工效降低和民抚费用等；施工方案中的各种施工组织、施工技术措施增加费用以及为确保招标人要求的质量、工期发生的费用计入投标报价。</w:t>
      </w:r>
    </w:p>
    <w:p w14:paraId="5BA134C1">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2.18本工程水电接入由投标人负责并考虑在投标报价中。</w:t>
      </w:r>
    </w:p>
    <w:p w14:paraId="0E946E64">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2.19特别提醒：所有材料、设备的检验试验费用均由投标人支付，投标人须在此次报价中考虑，招标人将不再另行支付该项费用。</w:t>
      </w:r>
    </w:p>
    <w:p w14:paraId="062AF7F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2.20投标人应负责做好竣工验收前的成品保护工作，否则由此引起的一切损失由投标人承担。</w:t>
      </w:r>
    </w:p>
    <w:p w14:paraId="108E05A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过高报价的处理方式：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p>
    <w:p w14:paraId="62309ACF">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2.22因施工现场为校内施工，情况特殊，投标人自行勘察现场后，充分考虑作业时间、管理等引起的人工降效，由此产生的费用由投标人综合考虑到投标报价中。</w:t>
      </w:r>
    </w:p>
    <w:p w14:paraId="7188A0CB">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2.23投标报价编制依据：</w:t>
      </w:r>
    </w:p>
    <w:p w14:paraId="0BED5064">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*投标报价的计价方法按《建设工程工程量清单计价规范》（GB50500-2013）、江苏省和连云港市的有关计价文件；</w:t>
      </w:r>
    </w:p>
    <w:p w14:paraId="790C9061">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企业定额，江苏省相关工程计价定额、有关文件等；</w:t>
      </w:r>
    </w:p>
    <w:p w14:paraId="0B8E0C78">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苏建价[2016]154号文（省住房和城乡建设厅关于建筑业实施营改增后江苏省工程计价依据调整的通知）的要求，2016年5月1日后的工程应按营改增调整后的计价依据执行；本工程按一般计税方法编制投标报价，税金税率按苏建函价（2019）178号文执行。</w:t>
      </w:r>
    </w:p>
    <w:p w14:paraId="2B0E624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招标文件、工程量清单及其补充通知、答疑纪要；</w:t>
      </w:r>
    </w:p>
    <w:p w14:paraId="367118E8">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建设工程设计文件及相关资料；</w:t>
      </w:r>
    </w:p>
    <w:p w14:paraId="63223A7F">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施工现场情况、工程特点及拟定的投标施工组织设计或施工方案； </w:t>
      </w:r>
    </w:p>
    <w:p w14:paraId="3A9B246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与建设项目相关的标准、规范等技术资料；</w:t>
      </w:r>
    </w:p>
    <w:p w14:paraId="491D6D0C">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市场价格信息等；</w:t>
      </w:r>
    </w:p>
    <w:p w14:paraId="408AFF5C">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其它的相关资料。</w:t>
      </w:r>
    </w:p>
    <w:p w14:paraId="2DF87E5C">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2.24投标报价编制要求</w:t>
      </w:r>
    </w:p>
    <w:p w14:paraId="4E89A28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*必须按本文件规定的表式编制投标报价。</w:t>
      </w:r>
    </w:p>
    <w:p w14:paraId="71C4E11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*投标单位必须提供乙方采购材料供应表，列明所需材料单价、规格、品牌、产地及数量。</w:t>
      </w:r>
    </w:p>
    <w:p w14:paraId="040A7FCF">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投标报价所涵盖内容必须保证完全满足国家和地方相关验收规范和项目使用性能要求，中标后若因投标报价过低满足不了上述要求而提出的任何调整都将被拒绝。若因此影响工程正常进展，业主视情况将给予处罚。                       </w:t>
      </w:r>
    </w:p>
    <w:p w14:paraId="4A8EDA29">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3.3工程价款调整与结算</w:t>
      </w:r>
    </w:p>
    <w:p w14:paraId="213B052C">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相关原则</w:t>
      </w:r>
    </w:p>
    <w:p w14:paraId="54E1B9E6">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原则1、 本工程实际施工中所涉及的一切设计变更需发包人、设计院、项目管理工程师共同签字后方可执行，并以设计单位出具的正式书面文件为准。设计变更若不经发包人认可，则无效。设计变更应在造价人员核算并报请发包人批准后再行实施。(工程变更必须是正式书面文件，并需经发包人签认盖章，否则无效。)</w:t>
      </w:r>
    </w:p>
    <w:p w14:paraId="378F1EE8">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原则2、 本工程实际施工中所涉及的一切现场签证在施工前应由承包人书面申报、报发包人认可并签字后方可生效，否则结算时不得作为结算依据。</w:t>
      </w:r>
    </w:p>
    <w:p w14:paraId="0712235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原则3、本工程发生的变更及现场签证等内容，其签证款项待工程竣工结算审计完成后，同工程尾款一并支付。</w:t>
      </w:r>
    </w:p>
    <w:p w14:paraId="63517B6F">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相关细则</w:t>
      </w:r>
    </w:p>
    <w:p w14:paraId="14DD83A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1034683D">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2、若施工中出现施工图纸（含设计变更）与工程量清单项目特征描述不符，如无特殊原因或建设单位的要求，应以施工图纸进行施工。</w:t>
      </w:r>
    </w:p>
    <w:p w14:paraId="7F80E750">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3、因工程变更引起己标价工程量清单项目或其工程数量发生变化时，应按照下列规定调整: </w:t>
      </w:r>
    </w:p>
    <w:p w14:paraId="1B9FC73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已标价工程量清单中有适用于变更工程项目的，应采用该项目的单价；但当工程变更导致该清单项目的工程数量发生变化，且工程量偏差超过15%时，当工程量增加15%以上时，增加部分的工程量的综合单价应予调低，当工程量减少 15%以上时，减少后剩余部分工程量综合单价应予调高。</w:t>
      </w:r>
    </w:p>
    <w:p w14:paraId="1D6B9DC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（2）己标价工程量清单中没有适用但有类似于变更工程项目的，可在合理范围内参照类似项目的单价。</w:t>
      </w:r>
    </w:p>
    <w:p w14:paraId="2A6DD0CD">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p>
    <w:p w14:paraId="280DB7F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承包人报价浮动率L=（1-中标价/最高投标限价）*100%</w:t>
      </w:r>
    </w:p>
    <w:p w14:paraId="1B3C8A9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7AF7DFC3">
      <w:pPr>
        <w:tabs>
          <w:tab w:val="left" w:pos="0"/>
        </w:tabs>
        <w:spacing w:line="360" w:lineRule="auto"/>
        <w:ind w:firstLine="480"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 xml:space="preserve">投标人投标报价应充分考虑市场价格波动带来的风险，中标后不予调整。 </w:t>
      </w:r>
    </w:p>
    <w:p w14:paraId="4237B826">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5、承包人施工及生活用水用电费，根据其耗电用量及供水供电部门所收取的标准，加上公共分摊的部分，由发包人向承包人收取。</w:t>
      </w:r>
    </w:p>
    <w:p w14:paraId="57B8A9DF">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6、因不可抗力事件导致的费用，发、承包双方应按以下原则分别承担并调整工程价款。</w:t>
      </w:r>
    </w:p>
    <w:p w14:paraId="35CB1E8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本工程因发包人原因造成的损害、因工程损害导致第三方人员伤亡和财产损失以及运至施工现场用于施工的材料和待安装的设备的损害，由发包人承担； </w:t>
      </w:r>
    </w:p>
    <w:p w14:paraId="77E6614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承包人人员伤亡由其所在单位负责，并承担相应费用，与发包人无关； </w:t>
      </w:r>
    </w:p>
    <w:p w14:paraId="15C17F7D">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承包人的施工机械设备的损坏及停工损失，由承包人承担； </w:t>
      </w:r>
    </w:p>
    <w:p w14:paraId="0765966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停工期间，承包人应发包人要求留在施工现场的必要的管理人员及保卫人员的工资费用，由发包人承担；</w:t>
      </w:r>
    </w:p>
    <w:p w14:paraId="7FE0358A">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7、工程价款调整报告应由受益方按（2013）计价规范规定的时间内向合同的另一方提出，经对方确认后调整合同价款。受益方未在规定时间内提出工程价款调整报告的，视为不涉及合同价款的调整。</w:t>
      </w:r>
    </w:p>
    <w:p w14:paraId="0120738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收到工程价款调整报告的一方应在（2013）计价规范规定的时间内确认或提出协商意见，否则视为工程价款调整报告已经确认。</w:t>
      </w:r>
    </w:p>
    <w:p w14:paraId="4A6F0065">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8、工程进度款依据合同价款，按合同相关条款支付。经发、承包双方确定调整的工程价款不与工程进度款同期支付，待工程结算审计完成后一并支付。</w:t>
      </w:r>
    </w:p>
    <w:p w14:paraId="1B3FF782">
      <w:pPr>
        <w:tabs>
          <w:tab w:val="left" w:pos="0"/>
        </w:tabs>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总包人自行发包的工程所需的配合管理费由总包单位和分包单位自行解决。但总包人的分包（队伍资质、价格、配合管理费率等）必须经过招标人的书面同意，否则为违法分包。由总包人作为招标项目的招标人，材料采购、分包工程的招标文件和评标办法未经建设项目招标人的审批不得发放（应加盖建设项目招标人的公章）；评标时建设项目招标人派代表进入评标委员会参与评标；否则建设项目招标人有权拒绝对相应项目拨付工程款，对相关工程拒绝验收。</w:t>
      </w:r>
    </w:p>
    <w:p w14:paraId="35495CA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对于本工程将来若由建设单位组织发包（分包）的专业工程所需的配合管理费，此次报价时投标单位应综合考虑，将来不再另行支付。</w:t>
      </w:r>
    </w:p>
    <w:p w14:paraId="5A17524C">
      <w:pPr>
        <w:rPr>
          <w:rFonts w:ascii="Times New Roman" w:hAnsi="Times New Roman" w:eastAsia="宋体" w:cs="Times New Roman"/>
          <w:color w:val="000000" w:themeColor="text1"/>
          <w:highlight w:val="none"/>
          <w14:textFill>
            <w14:solidFill>
              <w14:schemeClr w14:val="tx1"/>
            </w14:solidFill>
          </w14:textFill>
        </w:rPr>
      </w:pPr>
    </w:p>
    <w:p w14:paraId="1E428C21">
      <w:pPr>
        <w:pStyle w:val="239"/>
        <w:rPr>
          <w:rFonts w:ascii="Times New Roman"/>
          <w:color w:val="000000" w:themeColor="text1"/>
          <w:highlight w:val="none"/>
          <w14:textFill>
            <w14:solidFill>
              <w14:schemeClr w14:val="tx1"/>
            </w14:solidFill>
          </w14:textFill>
        </w:rPr>
      </w:pPr>
    </w:p>
    <w:p w14:paraId="71B2DEFD">
      <w:pPr>
        <w:rPr>
          <w:rFonts w:ascii="Times New Roman" w:hAnsi="Times New Roman" w:eastAsia="宋体" w:cs="Times New Roman"/>
          <w:color w:val="000000" w:themeColor="text1"/>
          <w:highlight w:val="none"/>
          <w14:textFill>
            <w14:solidFill>
              <w14:schemeClr w14:val="tx1"/>
            </w14:solidFill>
          </w14:textFill>
        </w:rPr>
      </w:pPr>
    </w:p>
    <w:p w14:paraId="66E1DE79">
      <w:pPr>
        <w:rPr>
          <w:rFonts w:ascii="Times New Roman" w:hAnsi="Times New Roman" w:eastAsia="宋体" w:cs="Times New Roman"/>
          <w:color w:val="000000" w:themeColor="text1"/>
          <w:highlight w:val="none"/>
          <w14:textFill>
            <w14:solidFill>
              <w14:schemeClr w14:val="tx1"/>
            </w14:solidFill>
          </w14:textFill>
        </w:rPr>
      </w:pPr>
    </w:p>
    <w:p w14:paraId="79219676">
      <w:pPr>
        <w:rPr>
          <w:rFonts w:ascii="Times New Roman" w:hAnsi="Times New Roman" w:eastAsia="宋体" w:cs="Times New Roman"/>
          <w:color w:val="000000" w:themeColor="text1"/>
          <w:highlight w:val="none"/>
          <w14:textFill>
            <w14:solidFill>
              <w14:schemeClr w14:val="tx1"/>
            </w14:solidFill>
          </w14:textFill>
        </w:rPr>
      </w:pPr>
    </w:p>
    <w:p w14:paraId="563A2A4F">
      <w:pPr>
        <w:pStyle w:val="239"/>
        <w:rPr>
          <w:color w:val="000000" w:themeColor="text1"/>
          <w:highlight w:val="none"/>
          <w14:textFill>
            <w14:solidFill>
              <w14:schemeClr w14:val="tx1"/>
            </w14:solidFill>
          </w14:textFill>
        </w:rPr>
      </w:pPr>
      <w:bookmarkStart w:id="39" w:name="_Toc439886196"/>
      <w:bookmarkStart w:id="40" w:name="_Toc14160"/>
      <w:bookmarkStart w:id="41" w:name="_Toc17115"/>
      <w:bookmarkStart w:id="42" w:name="_Toc9614"/>
      <w:bookmarkStart w:id="43" w:name="_Toc10995"/>
      <w:bookmarkStart w:id="44" w:name="_Toc21278"/>
      <w:bookmarkStart w:id="45" w:name="_Toc3745"/>
      <w:bookmarkStart w:id="46" w:name="_Toc6576"/>
      <w:bookmarkStart w:id="47" w:name="_Toc14760"/>
    </w:p>
    <w:p w14:paraId="79FFFE21">
      <w:pPr>
        <w:pStyle w:val="239"/>
        <w:rPr>
          <w:color w:val="000000" w:themeColor="text1"/>
          <w:highlight w:val="none"/>
          <w14:textFill>
            <w14:solidFill>
              <w14:schemeClr w14:val="tx1"/>
            </w14:solidFill>
          </w14:textFill>
        </w:rPr>
      </w:pPr>
    </w:p>
    <w:p w14:paraId="3B72F949">
      <w:pPr>
        <w:pStyle w:val="239"/>
        <w:rPr>
          <w:color w:val="000000" w:themeColor="text1"/>
          <w:highlight w:val="none"/>
          <w14:textFill>
            <w14:solidFill>
              <w14:schemeClr w14:val="tx1"/>
            </w14:solidFill>
          </w14:textFill>
        </w:rPr>
      </w:pPr>
    </w:p>
    <w:p w14:paraId="7BB86451">
      <w:pPr>
        <w:spacing w:before="120" w:after="120" w:line="480" w:lineRule="auto"/>
        <w:jc w:val="center"/>
        <w:outlineLvl w:val="0"/>
        <w:rPr>
          <w:rFonts w:ascii="宋体" w:hAnsi="宋体" w:eastAsia="楷体_GB2312" w:cs="Times New Roman"/>
          <w:b/>
          <w:color w:val="000000" w:themeColor="text1"/>
          <w:sz w:val="44"/>
          <w:szCs w:val="44"/>
          <w:highlight w:val="none"/>
          <w14:textFill>
            <w14:solidFill>
              <w14:schemeClr w14:val="tx1"/>
            </w14:solidFill>
          </w14:textFill>
        </w:rPr>
      </w:pPr>
      <w:r>
        <w:rPr>
          <w:rFonts w:hint="eastAsia" w:ascii="宋体" w:hAnsi="宋体" w:eastAsia="楷体_GB2312" w:cs="Times New Roman"/>
          <w:b/>
          <w:color w:val="000000" w:themeColor="text1"/>
          <w:sz w:val="44"/>
          <w:szCs w:val="44"/>
          <w:highlight w:val="none"/>
          <w14:textFill>
            <w14:solidFill>
              <w14:schemeClr w14:val="tx1"/>
            </w14:solidFill>
          </w14:textFill>
        </w:rPr>
        <w:t>第五章</w:t>
      </w:r>
      <w:r>
        <w:rPr>
          <w:rFonts w:hint="eastAsia" w:ascii="宋体" w:hAnsi="宋体" w:cs="Times New Roman"/>
          <w:b/>
          <w:color w:val="000000" w:themeColor="text1"/>
          <w:sz w:val="44"/>
          <w:szCs w:val="44"/>
          <w:highlight w:val="none"/>
          <w14:textFill>
            <w14:solidFill>
              <w14:schemeClr w14:val="tx1"/>
            </w14:solidFill>
          </w14:textFill>
        </w:rPr>
        <w:t xml:space="preserve"> </w:t>
      </w:r>
      <w:r>
        <w:rPr>
          <w:rFonts w:hint="eastAsia" w:ascii="宋体" w:hAnsi="宋体" w:eastAsia="宋体" w:cs="宋体"/>
          <w:b/>
          <w:color w:val="000000" w:themeColor="text1"/>
          <w:sz w:val="44"/>
          <w:szCs w:val="44"/>
          <w:highlight w:val="none"/>
          <w14:textFill>
            <w14:solidFill>
              <w14:schemeClr w14:val="tx1"/>
            </w14:solidFill>
          </w14:textFill>
        </w:rPr>
        <w:t>图纸</w:t>
      </w:r>
      <w:r>
        <w:rPr>
          <w:rFonts w:hint="eastAsia" w:ascii="MS Gothic" w:hAnsi="MS Gothic" w:eastAsia="MS Gothic" w:cs="MS Gothic"/>
          <w:b/>
          <w:color w:val="000000" w:themeColor="text1"/>
          <w:sz w:val="44"/>
          <w:szCs w:val="44"/>
          <w:highlight w:val="none"/>
          <w14:textFill>
            <w14:solidFill>
              <w14:schemeClr w14:val="tx1"/>
            </w14:solidFill>
          </w14:textFill>
        </w:rPr>
        <w:t>（</w:t>
      </w:r>
      <w:r>
        <w:rPr>
          <w:rFonts w:hint="eastAsia" w:ascii="MS Gothic" w:hAnsi="MS Gothic" w:eastAsia="宋体" w:cs="MS Gothic"/>
          <w:b/>
          <w:color w:val="000000" w:themeColor="text1"/>
          <w:sz w:val="44"/>
          <w:szCs w:val="44"/>
          <w:highlight w:val="none"/>
          <w14:textFill>
            <w14:solidFill>
              <w14:schemeClr w14:val="tx1"/>
            </w14:solidFill>
          </w14:textFill>
        </w:rPr>
        <w:t>/</w:t>
      </w:r>
      <w:r>
        <w:rPr>
          <w:rFonts w:hint="eastAsia" w:ascii="宋体" w:hAnsi="宋体" w:eastAsia="楷体_GB2312" w:cs="Times New Roman"/>
          <w:b/>
          <w:color w:val="000000" w:themeColor="text1"/>
          <w:sz w:val="44"/>
          <w:szCs w:val="44"/>
          <w:highlight w:val="none"/>
          <w14:textFill>
            <w14:solidFill>
              <w14:schemeClr w14:val="tx1"/>
            </w14:solidFill>
          </w14:textFill>
        </w:rPr>
        <w:t>）</w:t>
      </w:r>
      <w:bookmarkEnd w:id="39"/>
      <w:bookmarkEnd w:id="40"/>
      <w:bookmarkEnd w:id="41"/>
      <w:bookmarkEnd w:id="42"/>
      <w:bookmarkEnd w:id="43"/>
      <w:bookmarkEnd w:id="44"/>
      <w:bookmarkEnd w:id="45"/>
      <w:bookmarkEnd w:id="46"/>
      <w:bookmarkEnd w:id="47"/>
    </w:p>
    <w:p w14:paraId="65973B4B">
      <w:pPr>
        <w:pStyle w:val="239"/>
        <w:rPr>
          <w:color w:val="000000" w:themeColor="text1"/>
          <w:highlight w:val="none"/>
          <w14:textFill>
            <w14:solidFill>
              <w14:schemeClr w14:val="tx1"/>
            </w14:solidFill>
          </w14:textFill>
        </w:rPr>
      </w:pPr>
      <w:bookmarkStart w:id="48" w:name="_Toc8669"/>
      <w:bookmarkStart w:id="49" w:name="_Toc5830"/>
      <w:bookmarkStart w:id="50" w:name="_Toc439886198"/>
      <w:bookmarkStart w:id="51" w:name="_Toc2403"/>
      <w:bookmarkStart w:id="52" w:name="_Toc3584"/>
      <w:bookmarkStart w:id="53" w:name="_Toc24346"/>
      <w:bookmarkStart w:id="54" w:name="_Toc25105"/>
      <w:bookmarkStart w:id="55" w:name="_Toc22191"/>
      <w:bookmarkStart w:id="56" w:name="_Toc460366521"/>
      <w:bookmarkStart w:id="57" w:name="_Toc21712"/>
    </w:p>
    <w:p w14:paraId="1C495642">
      <w:pPr>
        <w:pStyle w:val="239"/>
        <w:rPr>
          <w:color w:val="000000" w:themeColor="text1"/>
          <w:highlight w:val="none"/>
          <w14:textFill>
            <w14:solidFill>
              <w14:schemeClr w14:val="tx1"/>
            </w14:solidFill>
          </w14:textFill>
        </w:rPr>
      </w:pPr>
    </w:p>
    <w:p w14:paraId="3172676C">
      <w:pPr>
        <w:pStyle w:val="239"/>
        <w:rPr>
          <w:rFonts w:ascii="Calibri" w:hAnsi="Calibri"/>
          <w:color w:val="000000" w:themeColor="text1"/>
          <w:highlight w:val="none"/>
          <w14:textFill>
            <w14:solidFill>
              <w14:schemeClr w14:val="tx1"/>
            </w14:solidFill>
          </w14:textFill>
        </w:rPr>
      </w:pPr>
    </w:p>
    <w:p w14:paraId="109B3C7F">
      <w:pPr>
        <w:pStyle w:val="239"/>
        <w:rPr>
          <w:rFonts w:ascii="Times New Roman" w:hAnsi="Times New Roman"/>
          <w:color w:val="000000" w:themeColor="text1"/>
          <w:highlight w:val="none"/>
          <w14:textFill>
            <w14:solidFill>
              <w14:schemeClr w14:val="tx1"/>
            </w14:solidFill>
          </w14:textFill>
        </w:rPr>
      </w:pPr>
    </w:p>
    <w:p w14:paraId="044E5628">
      <w:pPr>
        <w:pStyle w:val="239"/>
        <w:rPr>
          <w:rFonts w:ascii="Times New Roman" w:hAnsi="Times New Roman"/>
          <w:color w:val="000000" w:themeColor="text1"/>
          <w:highlight w:val="none"/>
          <w14:textFill>
            <w14:solidFill>
              <w14:schemeClr w14:val="tx1"/>
            </w14:solidFill>
          </w14:textFill>
        </w:rPr>
      </w:pPr>
    </w:p>
    <w:p w14:paraId="557285AF">
      <w:pPr>
        <w:pStyle w:val="239"/>
        <w:rPr>
          <w:rFonts w:ascii="Times New Roman" w:hAnsi="Times New Roman"/>
          <w:color w:val="000000" w:themeColor="text1"/>
          <w:highlight w:val="none"/>
          <w14:textFill>
            <w14:solidFill>
              <w14:schemeClr w14:val="tx1"/>
            </w14:solidFill>
          </w14:textFill>
        </w:rPr>
      </w:pPr>
    </w:p>
    <w:p w14:paraId="44820D5A">
      <w:pPr>
        <w:pStyle w:val="239"/>
        <w:rPr>
          <w:rFonts w:ascii="Times New Roman" w:hAnsi="Times New Roman"/>
          <w:color w:val="000000" w:themeColor="text1"/>
          <w:highlight w:val="none"/>
          <w14:textFill>
            <w14:solidFill>
              <w14:schemeClr w14:val="tx1"/>
            </w14:solidFill>
          </w14:textFill>
        </w:rPr>
      </w:pPr>
    </w:p>
    <w:p w14:paraId="654056D6">
      <w:pPr>
        <w:rPr>
          <w:rFonts w:ascii="Times New Roman" w:hAnsi="Times New Roman" w:eastAsia="宋体" w:cs="Times New Roman"/>
          <w:color w:val="000000" w:themeColor="text1"/>
          <w:highlight w:val="none"/>
          <w14:textFill>
            <w14:solidFill>
              <w14:schemeClr w14:val="tx1"/>
            </w14:solidFill>
          </w14:textFill>
        </w:rPr>
      </w:pPr>
    </w:p>
    <w:p w14:paraId="6D66664D">
      <w:pPr>
        <w:rPr>
          <w:rFonts w:ascii="Times New Roman" w:hAnsi="Times New Roman" w:eastAsia="宋体" w:cs="Times New Roman"/>
          <w:color w:val="000000" w:themeColor="text1"/>
          <w:highlight w:val="none"/>
          <w14:textFill>
            <w14:solidFill>
              <w14:schemeClr w14:val="tx1"/>
            </w14:solidFill>
          </w14:textFill>
        </w:rPr>
      </w:pPr>
    </w:p>
    <w:p w14:paraId="6892D748">
      <w:pPr>
        <w:rPr>
          <w:rFonts w:ascii="Times New Roman" w:hAnsi="Times New Roman" w:eastAsia="宋体" w:cs="Times New Roman"/>
          <w:color w:val="000000" w:themeColor="text1"/>
          <w:highlight w:val="none"/>
          <w14:textFill>
            <w14:solidFill>
              <w14:schemeClr w14:val="tx1"/>
            </w14:solidFill>
          </w14:textFill>
        </w:rPr>
      </w:pPr>
    </w:p>
    <w:p w14:paraId="4E13F116">
      <w:pPr>
        <w:rPr>
          <w:rFonts w:ascii="Times New Roman" w:hAnsi="Times New Roman" w:eastAsia="宋体" w:cs="Times New Roman"/>
          <w:color w:val="000000" w:themeColor="text1"/>
          <w:highlight w:val="none"/>
          <w14:textFill>
            <w14:solidFill>
              <w14:schemeClr w14:val="tx1"/>
            </w14:solidFill>
          </w14:textFill>
        </w:rPr>
      </w:pPr>
    </w:p>
    <w:p w14:paraId="570CCEEE">
      <w:pPr>
        <w:rPr>
          <w:rFonts w:ascii="Times New Roman" w:hAnsi="Times New Roman" w:eastAsia="宋体" w:cs="Times New Roman"/>
          <w:color w:val="000000" w:themeColor="text1"/>
          <w:highlight w:val="none"/>
          <w14:textFill>
            <w14:solidFill>
              <w14:schemeClr w14:val="tx1"/>
            </w14:solidFill>
          </w14:textFill>
        </w:rPr>
      </w:pPr>
    </w:p>
    <w:p w14:paraId="25BBB2A0">
      <w:pPr>
        <w:rPr>
          <w:rFonts w:ascii="Times New Roman" w:hAnsi="Times New Roman" w:eastAsia="宋体" w:cs="Times New Roman"/>
          <w:color w:val="000000" w:themeColor="text1"/>
          <w:highlight w:val="none"/>
          <w14:textFill>
            <w14:solidFill>
              <w14:schemeClr w14:val="tx1"/>
            </w14:solidFill>
          </w14:textFill>
        </w:rPr>
      </w:pPr>
    </w:p>
    <w:p w14:paraId="2C7E5885">
      <w:pPr>
        <w:rPr>
          <w:rFonts w:ascii="Times New Roman" w:hAnsi="Times New Roman" w:eastAsia="宋体" w:cs="Times New Roman"/>
          <w:color w:val="000000" w:themeColor="text1"/>
          <w:highlight w:val="none"/>
          <w14:textFill>
            <w14:solidFill>
              <w14:schemeClr w14:val="tx1"/>
            </w14:solidFill>
          </w14:textFill>
        </w:rPr>
      </w:pPr>
    </w:p>
    <w:p w14:paraId="0DD68DE7">
      <w:pPr>
        <w:rPr>
          <w:rFonts w:ascii="Times New Roman" w:hAnsi="Times New Roman" w:eastAsia="宋体" w:cs="Times New Roman"/>
          <w:color w:val="000000" w:themeColor="text1"/>
          <w:highlight w:val="none"/>
          <w14:textFill>
            <w14:solidFill>
              <w14:schemeClr w14:val="tx1"/>
            </w14:solidFill>
          </w14:textFill>
        </w:rPr>
      </w:pPr>
    </w:p>
    <w:p w14:paraId="3844CEC5">
      <w:pPr>
        <w:rPr>
          <w:rFonts w:ascii="Times New Roman" w:hAnsi="Times New Roman" w:eastAsia="宋体" w:cs="Times New Roman"/>
          <w:color w:val="000000" w:themeColor="text1"/>
          <w:highlight w:val="none"/>
          <w14:textFill>
            <w14:solidFill>
              <w14:schemeClr w14:val="tx1"/>
            </w14:solidFill>
          </w14:textFill>
        </w:rPr>
      </w:pPr>
    </w:p>
    <w:p w14:paraId="33198744">
      <w:pPr>
        <w:rPr>
          <w:rFonts w:ascii="Times New Roman" w:hAnsi="Times New Roman" w:eastAsia="宋体" w:cs="Times New Roman"/>
          <w:color w:val="000000" w:themeColor="text1"/>
          <w:highlight w:val="none"/>
          <w14:textFill>
            <w14:solidFill>
              <w14:schemeClr w14:val="tx1"/>
            </w14:solidFill>
          </w14:textFill>
        </w:rPr>
      </w:pPr>
    </w:p>
    <w:p w14:paraId="33186525">
      <w:pPr>
        <w:rPr>
          <w:rFonts w:ascii="Times New Roman" w:hAnsi="Times New Roman" w:eastAsia="宋体" w:cs="Times New Roman"/>
          <w:color w:val="000000" w:themeColor="text1"/>
          <w:highlight w:val="none"/>
          <w14:textFill>
            <w14:solidFill>
              <w14:schemeClr w14:val="tx1"/>
            </w14:solidFill>
          </w14:textFill>
        </w:rPr>
      </w:pPr>
    </w:p>
    <w:p w14:paraId="0D634709">
      <w:pPr>
        <w:rPr>
          <w:rFonts w:ascii="Times New Roman" w:hAnsi="Times New Roman" w:eastAsia="宋体" w:cs="Times New Roman"/>
          <w:color w:val="000000" w:themeColor="text1"/>
          <w:highlight w:val="none"/>
          <w14:textFill>
            <w14:solidFill>
              <w14:schemeClr w14:val="tx1"/>
            </w14:solidFill>
          </w14:textFill>
        </w:rPr>
      </w:pPr>
    </w:p>
    <w:p w14:paraId="62E1DCAF">
      <w:pPr>
        <w:rPr>
          <w:rFonts w:ascii="Times New Roman" w:hAnsi="Times New Roman" w:eastAsia="宋体" w:cs="Times New Roman"/>
          <w:color w:val="000000" w:themeColor="text1"/>
          <w:highlight w:val="none"/>
          <w14:textFill>
            <w14:solidFill>
              <w14:schemeClr w14:val="tx1"/>
            </w14:solidFill>
          </w14:textFill>
        </w:rPr>
      </w:pPr>
    </w:p>
    <w:p w14:paraId="1ACFE8CC">
      <w:pPr>
        <w:rPr>
          <w:rFonts w:ascii="Times New Roman" w:hAnsi="Times New Roman" w:eastAsia="宋体" w:cs="Times New Roman"/>
          <w:color w:val="000000" w:themeColor="text1"/>
          <w:highlight w:val="none"/>
          <w14:textFill>
            <w14:solidFill>
              <w14:schemeClr w14:val="tx1"/>
            </w14:solidFill>
          </w14:textFill>
        </w:rPr>
      </w:pPr>
    </w:p>
    <w:p w14:paraId="5E98A353">
      <w:pPr>
        <w:rPr>
          <w:rFonts w:ascii="Times New Roman" w:hAnsi="Times New Roman" w:eastAsia="宋体" w:cs="Times New Roman"/>
          <w:color w:val="000000" w:themeColor="text1"/>
          <w:highlight w:val="none"/>
          <w14:textFill>
            <w14:solidFill>
              <w14:schemeClr w14:val="tx1"/>
            </w14:solidFill>
          </w14:textFill>
        </w:rPr>
      </w:pPr>
    </w:p>
    <w:p w14:paraId="0C8D1C25">
      <w:pPr>
        <w:rPr>
          <w:rFonts w:ascii="Times New Roman" w:hAnsi="Times New Roman" w:eastAsia="宋体" w:cs="Times New Roman"/>
          <w:color w:val="000000" w:themeColor="text1"/>
          <w:highlight w:val="none"/>
          <w14:textFill>
            <w14:solidFill>
              <w14:schemeClr w14:val="tx1"/>
            </w14:solidFill>
          </w14:textFill>
        </w:rPr>
      </w:pPr>
    </w:p>
    <w:p w14:paraId="66344518">
      <w:pPr>
        <w:rPr>
          <w:rFonts w:ascii="Times New Roman" w:hAnsi="Times New Roman" w:eastAsia="宋体" w:cs="Times New Roman"/>
          <w:color w:val="000000" w:themeColor="text1"/>
          <w:highlight w:val="none"/>
          <w14:textFill>
            <w14:solidFill>
              <w14:schemeClr w14:val="tx1"/>
            </w14:solidFill>
          </w14:textFill>
        </w:rPr>
      </w:pPr>
    </w:p>
    <w:p w14:paraId="626F2C88">
      <w:pPr>
        <w:rPr>
          <w:rFonts w:ascii="Times New Roman" w:hAnsi="Times New Roman" w:eastAsia="宋体" w:cs="Times New Roman"/>
          <w:color w:val="000000" w:themeColor="text1"/>
          <w:highlight w:val="none"/>
          <w14:textFill>
            <w14:solidFill>
              <w14:schemeClr w14:val="tx1"/>
            </w14:solidFill>
          </w14:textFill>
        </w:rPr>
      </w:pPr>
    </w:p>
    <w:p w14:paraId="664C8425">
      <w:pPr>
        <w:rPr>
          <w:rFonts w:ascii="Times New Roman" w:hAnsi="Times New Roman" w:eastAsia="宋体" w:cs="Times New Roman"/>
          <w:color w:val="000000" w:themeColor="text1"/>
          <w:highlight w:val="none"/>
          <w14:textFill>
            <w14:solidFill>
              <w14:schemeClr w14:val="tx1"/>
            </w14:solidFill>
          </w14:textFill>
        </w:rPr>
      </w:pPr>
    </w:p>
    <w:p w14:paraId="3C8FE876">
      <w:pPr>
        <w:rPr>
          <w:rFonts w:ascii="Times New Roman" w:hAnsi="Times New Roman" w:eastAsia="宋体" w:cs="Times New Roman"/>
          <w:color w:val="000000" w:themeColor="text1"/>
          <w:highlight w:val="none"/>
          <w14:textFill>
            <w14:solidFill>
              <w14:schemeClr w14:val="tx1"/>
            </w14:solidFill>
          </w14:textFill>
        </w:rPr>
      </w:pPr>
    </w:p>
    <w:p w14:paraId="247E87CE">
      <w:pPr>
        <w:rPr>
          <w:rFonts w:ascii="Times New Roman" w:hAnsi="Times New Roman" w:eastAsia="宋体" w:cs="Times New Roman"/>
          <w:color w:val="000000" w:themeColor="text1"/>
          <w:highlight w:val="none"/>
          <w14:textFill>
            <w14:solidFill>
              <w14:schemeClr w14:val="tx1"/>
            </w14:solidFill>
          </w14:textFill>
        </w:rPr>
      </w:pPr>
    </w:p>
    <w:p w14:paraId="3BE11742">
      <w:pPr>
        <w:rPr>
          <w:rFonts w:cs="Times New Roman" w:asciiTheme="majorEastAsia" w:hAnsiTheme="majorEastAsia" w:eastAsiaTheme="majorEastAsia"/>
          <w:b/>
          <w:color w:val="000000" w:themeColor="text1"/>
          <w:sz w:val="44"/>
          <w:szCs w:val="44"/>
          <w:highlight w:val="none"/>
          <w14:textFill>
            <w14:solidFill>
              <w14:schemeClr w14:val="tx1"/>
            </w14:solidFill>
          </w14:textFill>
        </w:rPr>
      </w:pPr>
      <w:r>
        <w:rPr>
          <w:rFonts w:cs="Times New Roman" w:asciiTheme="majorEastAsia" w:hAnsiTheme="majorEastAsia" w:eastAsiaTheme="majorEastAsia"/>
          <w:b/>
          <w:color w:val="000000" w:themeColor="text1"/>
          <w:sz w:val="44"/>
          <w:szCs w:val="44"/>
          <w:highlight w:val="none"/>
          <w14:textFill>
            <w14:solidFill>
              <w14:schemeClr w14:val="tx1"/>
            </w14:solidFill>
          </w14:textFill>
        </w:rPr>
        <w:br w:type="page" w:clear="all"/>
      </w:r>
    </w:p>
    <w:p w14:paraId="20486C5A">
      <w:pPr>
        <w:spacing w:line="480" w:lineRule="auto"/>
        <w:jc w:val="center"/>
        <w:outlineLvl w:val="0"/>
        <w:rPr>
          <w:rFonts w:cs="Times New Roman" w:asciiTheme="majorEastAsia" w:hAnsiTheme="majorEastAsia" w:eastAsiaTheme="majorEastAsia"/>
          <w:b/>
          <w:color w:val="000000" w:themeColor="text1"/>
          <w:sz w:val="44"/>
          <w:szCs w:val="44"/>
          <w:highlight w:val="none"/>
          <w14:textFill>
            <w14:solidFill>
              <w14:schemeClr w14:val="tx1"/>
            </w14:solidFill>
          </w14:textFill>
        </w:rPr>
      </w:pPr>
      <w:r>
        <w:rPr>
          <w:rFonts w:cs="Times New Roman" w:asciiTheme="majorEastAsia" w:hAnsiTheme="majorEastAsia" w:eastAsiaTheme="majorEastAsia"/>
          <w:b/>
          <w:color w:val="000000" w:themeColor="text1"/>
          <w:sz w:val="44"/>
          <w:szCs w:val="44"/>
          <w:highlight w:val="none"/>
          <w14:textFill>
            <w14:solidFill>
              <w14:schemeClr w14:val="tx1"/>
            </w14:solidFill>
          </w14:textFill>
        </w:rPr>
        <w:t>第</w:t>
      </w:r>
      <w:r>
        <w:rPr>
          <w:rFonts w:hint="eastAsia" w:cs="Times New Roman" w:asciiTheme="majorEastAsia" w:hAnsiTheme="majorEastAsia" w:eastAsiaTheme="majorEastAsia"/>
          <w:b/>
          <w:color w:val="000000" w:themeColor="text1"/>
          <w:sz w:val="44"/>
          <w:szCs w:val="44"/>
          <w:highlight w:val="none"/>
          <w14:textFill>
            <w14:solidFill>
              <w14:schemeClr w14:val="tx1"/>
            </w14:solidFill>
          </w14:textFill>
        </w:rPr>
        <w:t>六</w:t>
      </w:r>
      <w:r>
        <w:rPr>
          <w:rFonts w:cs="Times New Roman" w:asciiTheme="majorEastAsia" w:hAnsiTheme="majorEastAsia" w:eastAsiaTheme="majorEastAsia"/>
          <w:b/>
          <w:color w:val="000000" w:themeColor="text1"/>
          <w:sz w:val="44"/>
          <w:szCs w:val="44"/>
          <w:highlight w:val="none"/>
          <w14:textFill>
            <w14:solidFill>
              <w14:schemeClr w14:val="tx1"/>
            </w14:solidFill>
          </w14:textFill>
        </w:rPr>
        <w:t>章</w:t>
      </w:r>
      <w:r>
        <w:rPr>
          <w:rFonts w:hint="eastAsia" w:cs="Times New Roman" w:asciiTheme="majorEastAsia" w:hAnsiTheme="majorEastAsia" w:eastAsiaTheme="majorEastAsia"/>
          <w:b/>
          <w:color w:val="000000" w:themeColor="text1"/>
          <w:sz w:val="44"/>
          <w:szCs w:val="44"/>
          <w:highlight w:val="none"/>
          <w14:textFill>
            <w14:solidFill>
              <w14:schemeClr w14:val="tx1"/>
            </w14:solidFill>
          </w14:textFill>
        </w:rPr>
        <w:t xml:space="preserve"> </w:t>
      </w:r>
      <w:r>
        <w:rPr>
          <w:rFonts w:hint="eastAsia" w:cs="宋体" w:asciiTheme="majorEastAsia" w:hAnsiTheme="majorEastAsia" w:eastAsiaTheme="majorEastAsia"/>
          <w:b/>
          <w:color w:val="000000" w:themeColor="text1"/>
          <w:sz w:val="44"/>
          <w:szCs w:val="44"/>
          <w:highlight w:val="none"/>
          <w14:textFill>
            <w14:solidFill>
              <w14:schemeClr w14:val="tx1"/>
            </w14:solidFill>
          </w14:textFill>
        </w:rPr>
        <w:t>项</w:t>
      </w:r>
      <w:r>
        <w:rPr>
          <w:rFonts w:hint="eastAsia" w:cs="MS Gothic" w:asciiTheme="majorEastAsia" w:hAnsiTheme="majorEastAsia" w:eastAsiaTheme="majorEastAsia"/>
          <w:b/>
          <w:color w:val="000000" w:themeColor="text1"/>
          <w:sz w:val="44"/>
          <w:szCs w:val="44"/>
          <w:highlight w:val="none"/>
          <w14:textFill>
            <w14:solidFill>
              <w14:schemeClr w14:val="tx1"/>
            </w14:solidFill>
          </w14:textFill>
        </w:rPr>
        <w:t>目需</w:t>
      </w:r>
      <w:r>
        <w:rPr>
          <w:rFonts w:cs="Times New Roman" w:asciiTheme="majorEastAsia" w:hAnsiTheme="majorEastAsia" w:eastAsiaTheme="majorEastAsia"/>
          <w:b/>
          <w:color w:val="000000" w:themeColor="text1"/>
          <w:sz w:val="44"/>
          <w:szCs w:val="44"/>
          <w:highlight w:val="none"/>
          <w14:textFill>
            <w14:solidFill>
              <w14:schemeClr w14:val="tx1"/>
            </w14:solidFill>
          </w14:textFill>
        </w:rPr>
        <w:t>求</w:t>
      </w:r>
    </w:p>
    <w:p w14:paraId="516C69BE">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说明：本项目采购方式为竞争性磋商，项目属性为</w:t>
      </w:r>
      <w:r>
        <w:rPr>
          <w:rFonts w:hint="eastAsia" w:ascii="宋体" w:hAnsi="宋体" w:eastAsia="宋体" w:cs="宋体"/>
          <w:b/>
          <w:bCs/>
          <w:color w:val="000000" w:themeColor="text1"/>
          <w:sz w:val="24"/>
          <w:szCs w:val="24"/>
          <w:highlight w:val="none"/>
          <w:u w:val="singl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，采购标的对应的中小企业划分标准所属行业为</w:t>
      </w:r>
      <w:r>
        <w:rPr>
          <w:rFonts w:hint="eastAsia" w:ascii="宋体" w:hAnsi="宋体" w:eastAsia="宋体" w:cs="宋体"/>
          <w:b/>
          <w:bCs/>
          <w:color w:val="000000" w:themeColor="text1"/>
          <w:sz w:val="24"/>
          <w:szCs w:val="24"/>
          <w:highlight w:val="none"/>
          <w:u w:val="single"/>
          <w14:textFill>
            <w14:solidFill>
              <w14:schemeClr w14:val="tx1"/>
            </w14:solidFill>
          </w14:textFill>
        </w:rPr>
        <w:t>　建筑业　</w:t>
      </w:r>
      <w:r>
        <w:rPr>
          <w:rFonts w:hint="eastAsia" w:ascii="宋体" w:hAnsi="宋体" w:eastAsia="宋体" w:cs="宋体"/>
          <w:color w:val="000000" w:themeColor="text1"/>
          <w:sz w:val="24"/>
          <w:szCs w:val="24"/>
          <w:highlight w:val="none"/>
          <w14:textFill>
            <w14:solidFill>
              <w14:schemeClr w14:val="tx1"/>
            </w14:solidFill>
          </w14:textFill>
        </w:rPr>
        <w:t>。</w:t>
      </w:r>
    </w:p>
    <w:p w14:paraId="36C6825E">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1、根据《政府采购需求管理办法》等有关规定，采购人确定采购需求。</w:t>
      </w:r>
    </w:p>
    <w:p w14:paraId="166B83D7">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2、本项目需求中打★为实质性要求和条件，由采购人根据实际情况设置，投标人必须逐条明确作出满足实质性要求和条件的响应，否则投标无效</w:t>
      </w:r>
    </w:p>
    <w:p w14:paraId="485BD56E">
      <w:pPr>
        <w:spacing w:line="360" w:lineRule="auto"/>
        <w:ind w:firstLine="482"/>
        <w:outlineLvl w:val="1"/>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一、工程概况：</w:t>
      </w:r>
    </w:p>
    <w:p w14:paraId="38F40EDE">
      <w:pPr>
        <w:spacing w:line="360" w:lineRule="auto"/>
        <w:ind w:firstLine="480" w:firstLineChars="200"/>
        <w:jc w:val="lef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临洪东站110KV变电所系临洪枢纽的配套工程，坐落在临洪东泵站西南角，为临洪管理处下属临洪东站、大浦站、大浦二站专用变电所。经二〇一二年的工程改造后的变电所现有110KV/6KV两圈变压器三台： 1号主变采用正泰电气有限公司生产的油浸式电力变压器，型号为S11-16000/110，采用无载调压共五个档，两侧电压为（110±2×2.5%）/6.3kV，额定容量分别为16000kVA，为大浦一站一段、临洪东站一段、站变专供；2号主变同1号主变，为大浦一站二段、临洪东泵站二段专供； 3号主变采用山东泰开变压器有限公司生产的油浸式电力变压器，型号为S11-6300/110，采用无载调压共五个档，两侧电压为（110±2×2.5%）/6.3kV，额定容量分别为6300kVA，为大浦二站专供变压器， 110KV 部分采用GIS组合电气设备； 6KV采用中置式高压开关柜。采用微机保护，并采用微机监控系统。</w:t>
      </w:r>
    </w:p>
    <w:p w14:paraId="6AAB5551">
      <w:pPr>
        <w:spacing w:line="360" w:lineRule="auto"/>
        <w:ind w:firstLine="480" w:firstLineChars="200"/>
        <w:jc w:val="lef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目前变电所运行方式为：</w:t>
      </w:r>
    </w:p>
    <w:p w14:paraId="7206055A">
      <w:pPr>
        <w:spacing w:line="360" w:lineRule="auto"/>
        <w:ind w:firstLine="480" w:firstLineChars="200"/>
        <w:jc w:val="lef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110KV侧：主接线采用单母线单电源回路，设置一回110kV进线间隔、三回110kV主变进线间隔、一回110kV电压互感器间隔以及共箱主母线；</w:t>
      </w:r>
    </w:p>
    <w:p w14:paraId="2EF26BB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6KV侧：采用单母线分段三进（1＃主变、2＃主变、3#主变）六出（大浦一站一段、临洪东站一段、站变、大浦一站二段、临洪东站二段、大浦二站）运行方式</w:t>
      </w:r>
      <w:r>
        <w:rPr>
          <w:rFonts w:hint="eastAsia"/>
          <w:color w:val="000000" w:themeColor="text1"/>
          <w:sz w:val="24"/>
          <w:highlight w:val="none"/>
          <w14:textFill>
            <w14:solidFill>
              <w14:schemeClr w14:val="tx1"/>
            </w14:solidFill>
          </w14:textFill>
        </w:rPr>
        <w:t>。</w:t>
      </w:r>
    </w:p>
    <w:p w14:paraId="2CF9CA67">
      <w:pPr>
        <w:spacing w:line="360" w:lineRule="auto"/>
        <w:ind w:firstLine="482"/>
        <w:outlineLvl w:val="1"/>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二、工程建设标准及技术规范 </w:t>
      </w:r>
    </w:p>
    <w:p w14:paraId="767C792C">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(一)、本工程采用的计价规范 </w:t>
      </w:r>
    </w:p>
    <w:p w14:paraId="30090BF4">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1、《建设工程工程量清单计价规范》(GB50500-2013)； </w:t>
      </w:r>
    </w:p>
    <w:p w14:paraId="1BF5A6DB">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2、《江苏省建设工程费用定额》(2014)； </w:t>
      </w:r>
    </w:p>
    <w:p w14:paraId="3E09727F">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3、江苏省及连云港市相关文件精神。 </w:t>
      </w:r>
    </w:p>
    <w:p w14:paraId="3752318A">
      <w:pPr>
        <w:spacing w:line="360" w:lineRule="auto"/>
        <w:ind w:firstLine="48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(二)、本工程采用的技术规范 </w:t>
      </w:r>
    </w:p>
    <w:p w14:paraId="18882016">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GB/T7261</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《继电保护和安全自动装置基本试验方法》</w:t>
      </w:r>
    </w:p>
    <w:p w14:paraId="15D48D6B">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 3701</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《电力系统继电保护与自动化装置产品贮运技术要求》</w:t>
      </w:r>
    </w:p>
    <w:p w14:paraId="2968A8BF">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JB/T 9568</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《电力系统继电器、保护及自动装置通用技术条件》</w:t>
      </w:r>
    </w:p>
    <w:p w14:paraId="3DDFE12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GB7267</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《电力系统二次回路保护及自动化机柜（屏）基本尺寸系列》</w:t>
      </w:r>
    </w:p>
    <w:p w14:paraId="1F5E3C54">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 3700</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《电力系统电保护与自动化装置产品包装技术条件》</w:t>
      </w:r>
    </w:p>
    <w:p w14:paraId="4F8E9A72">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50062</w:t>
      </w:r>
      <w:r>
        <w:rPr>
          <w:rFonts w:hint="eastAsia" w:asciiTheme="minorEastAsia" w:hAnsiTheme="minorEastAsia"/>
          <w:color w:val="000000" w:themeColor="text1"/>
          <w:sz w:val="24"/>
          <w:szCs w:val="24"/>
          <w:highlight w:val="none"/>
          <w14:textFill>
            <w14:solidFill>
              <w14:schemeClr w14:val="tx1"/>
            </w14:solidFill>
          </w14:textFill>
        </w:rPr>
        <w:t xml:space="preserve">     电力装置的继电保护和自动装置设计规范</w:t>
      </w:r>
    </w:p>
    <w:p w14:paraId="6E8CA3D7">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14285</w:t>
      </w:r>
      <w:r>
        <w:rPr>
          <w:rFonts w:hint="eastAsia" w:asciiTheme="minorEastAsia" w:hAnsiTheme="minorEastAsia"/>
          <w:color w:val="000000" w:themeColor="text1"/>
          <w:sz w:val="24"/>
          <w:szCs w:val="24"/>
          <w:highlight w:val="none"/>
          <w14:textFill>
            <w14:solidFill>
              <w14:schemeClr w14:val="tx1"/>
            </w14:solidFill>
          </w14:textFill>
        </w:rPr>
        <w:t xml:space="preserve">   继电保护和安全自动装置技术规程</w:t>
      </w:r>
    </w:p>
    <w:p w14:paraId="0634F45D">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50254</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电气装置安装工程施工及验收规范</w:t>
      </w:r>
    </w:p>
    <w:p w14:paraId="5E7C9A51">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50168</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电气装置安装工程电缆线路施工及验收规范</w:t>
      </w:r>
    </w:p>
    <w:p w14:paraId="0CA5EBC2">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17626.3</w:t>
      </w:r>
      <w:r>
        <w:rPr>
          <w:rFonts w:hint="eastAsia" w:asciiTheme="minorEastAsia" w:hAnsiTheme="minorEastAsia"/>
          <w:color w:val="000000" w:themeColor="text1"/>
          <w:sz w:val="24"/>
          <w:szCs w:val="24"/>
          <w:highlight w:val="none"/>
          <w14:textFill>
            <w14:solidFill>
              <w14:schemeClr w14:val="tx1"/>
            </w14:solidFill>
          </w14:textFill>
        </w:rPr>
        <w:t>电磁兼容试验和测量技术射频电磁场辐射抗扰度试验</w:t>
      </w:r>
    </w:p>
    <w:p w14:paraId="13B74585">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17626.5</w:t>
      </w:r>
      <w:r>
        <w:rPr>
          <w:rFonts w:hint="eastAsia" w:asciiTheme="minorEastAsia" w:hAnsiTheme="minorEastAsia"/>
          <w:color w:val="000000" w:themeColor="text1"/>
          <w:sz w:val="24"/>
          <w:szCs w:val="24"/>
          <w:highlight w:val="none"/>
          <w14:textFill>
            <w14:solidFill>
              <w14:schemeClr w14:val="tx1"/>
            </w14:solidFill>
          </w14:textFill>
        </w:rPr>
        <w:t>电磁兼容试验和测量技术浪涌(冲击)抗扰度试验</w:t>
      </w:r>
    </w:p>
    <w:p w14:paraId="611830A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IEC6 1850</w:t>
      </w:r>
      <w:r>
        <w:rPr>
          <w:rFonts w:hint="eastAsia" w:asciiTheme="minorEastAsia" w:hAnsiTheme="minorEastAsia"/>
          <w:color w:val="000000" w:themeColor="text1"/>
          <w:sz w:val="24"/>
          <w:szCs w:val="24"/>
          <w:highlight w:val="none"/>
          <w14:textFill>
            <w14:solidFill>
              <w14:schemeClr w14:val="tx1"/>
            </w14:solidFill>
          </w14:textFill>
        </w:rPr>
        <w:t xml:space="preserve">    变电站网络与通信协议</w:t>
      </w:r>
    </w:p>
    <w:p w14:paraId="529D8D2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3859.1</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《半导体变流器 基本要求的规定》</w:t>
      </w:r>
    </w:p>
    <w:p w14:paraId="1ACF8209">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GB17478   </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《低压直流电源设备的特性及安全要求》</w:t>
      </w:r>
    </w:p>
    <w:p w14:paraId="5C0FEC7F">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JB/T 8456  </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《低压直流成套开关设备》</w:t>
      </w:r>
    </w:p>
    <w:p w14:paraId="6A7CEBEC">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JBT 5777   </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《电力系统直流屏通用 技术条件和安全要求》</w:t>
      </w:r>
    </w:p>
    <w:p w14:paraId="1A9EBD61">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JB/T 8948   《电控设备用低压直流电源》</w:t>
      </w:r>
    </w:p>
    <w:p w14:paraId="16783D8C">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DL/T 459   </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《电力系统直流电源柜订货技术条件》</w:t>
      </w:r>
    </w:p>
    <w:p w14:paraId="4ACD7AC2">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PDL/T 5120 </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《小型电力工程直流系统设计规程》</w:t>
      </w:r>
    </w:p>
    <w:p w14:paraId="5067618C">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50254</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电气装置安装工程施工及验收规范</w:t>
      </w:r>
    </w:p>
    <w:p w14:paraId="4C0029B5">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50168</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电气装置安装工程电缆线路施工及验收规范</w:t>
      </w:r>
    </w:p>
    <w:p w14:paraId="269BF293">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17626.3</w:t>
      </w:r>
      <w:r>
        <w:rPr>
          <w:rFonts w:hint="eastAsia" w:asciiTheme="minorEastAsia" w:hAnsiTheme="minorEastAsia"/>
          <w:color w:val="000000" w:themeColor="text1"/>
          <w:sz w:val="24"/>
          <w:szCs w:val="24"/>
          <w:highlight w:val="none"/>
          <w14:textFill>
            <w14:solidFill>
              <w14:schemeClr w14:val="tx1"/>
            </w14:solidFill>
          </w14:textFill>
        </w:rPr>
        <w:t xml:space="preserve"> 电磁兼容试验和测量技术射频电磁场辐射抗扰度试验</w:t>
      </w:r>
    </w:p>
    <w:p w14:paraId="2FABFD94">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17626.5</w:t>
      </w:r>
      <w:r>
        <w:rPr>
          <w:rFonts w:hint="eastAsia" w:asciiTheme="minorEastAsia" w:hAnsiTheme="minorEastAsia"/>
          <w:color w:val="000000" w:themeColor="text1"/>
          <w:sz w:val="24"/>
          <w:szCs w:val="24"/>
          <w:highlight w:val="none"/>
          <w14:textFill>
            <w14:solidFill>
              <w14:schemeClr w14:val="tx1"/>
            </w14:solidFill>
          </w14:textFill>
        </w:rPr>
        <w:t xml:space="preserve"> 电磁兼容试验和测量技术浪涌(冲击)抗扰度试验</w:t>
      </w:r>
    </w:p>
    <w:p w14:paraId="3F92CC17">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GB/T3482</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电子设备雷击试验方法</w:t>
      </w:r>
    </w:p>
    <w:p w14:paraId="0F244A2B">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GB7260</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不间断电源设备</w:t>
      </w:r>
    </w:p>
    <w:p w14:paraId="200640AB">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JB/T5234</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工业控制计算机系统验收大纲</w:t>
      </w:r>
    </w:p>
    <w:p w14:paraId="37388B0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GB2887</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计算站场地通用规范</w:t>
      </w:r>
    </w:p>
    <w:p w14:paraId="657BE659">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GB4205</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人机界面标志标识的基本和安全规则操作规则</w:t>
      </w:r>
    </w:p>
    <w:p w14:paraId="36B1F007">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GB762</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标准电流等级</w:t>
      </w:r>
    </w:p>
    <w:p w14:paraId="0C4CF592">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GB4728.1~13</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电气图用图形符号</w:t>
      </w:r>
    </w:p>
    <w:p w14:paraId="24518FAE">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GB4942.2</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低压电器外壳防护等级</w:t>
      </w:r>
    </w:p>
    <w:p w14:paraId="36B68466">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GB4884</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绝缘导线的标记</w:t>
      </w:r>
    </w:p>
    <w:p w14:paraId="2389B007">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GB191</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包装贮运标志</w:t>
      </w:r>
    </w:p>
    <w:p w14:paraId="2DB78C4B">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GB50150</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电气装置安装工程电气设备交接试验标准</w:t>
      </w:r>
    </w:p>
    <w:p w14:paraId="5A55C45A">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GB50171</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电气装置安装工程盘柜及二次回路结线施工及验收规范</w:t>
      </w:r>
    </w:p>
    <w:p w14:paraId="47A05D5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GB50131</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自动化仪表工程施工质量及验收规范</w:t>
      </w:r>
    </w:p>
    <w:p w14:paraId="4C9711F7">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GB8566</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ab/>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计算机软件开发规范</w:t>
      </w:r>
    </w:p>
    <w:p w14:paraId="033B9419">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30094</w:t>
      </w:r>
      <w:r>
        <w:rPr>
          <w:rFonts w:asciiTheme="minorEastAsia" w:hAnsiTheme="minorEastAsia"/>
          <w:color w:val="000000" w:themeColor="text1"/>
          <w:sz w:val="24"/>
          <w:szCs w:val="24"/>
          <w:highlight w:val="none"/>
          <w14:textFill>
            <w14:solidFill>
              <w14:schemeClr w14:val="tx1"/>
            </w14:solidFill>
          </w14:textFill>
        </w:rPr>
        <w:tab/>
      </w:r>
      <w:r>
        <w:rPr>
          <w:rFonts w:asciiTheme="minorEastAsia" w:hAnsiTheme="minorEastAsia"/>
          <w:color w:val="000000" w:themeColor="text1"/>
          <w:sz w:val="24"/>
          <w:szCs w:val="24"/>
          <w:highlight w:val="none"/>
          <w14:textFill>
            <w14:solidFill>
              <w14:schemeClr w14:val="tx1"/>
            </w14:solidFill>
          </w14:textFill>
        </w:rPr>
        <w:t>工业以太网交换机技术规范</w:t>
      </w:r>
    </w:p>
    <w:p w14:paraId="166E5E7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GB50265</w:t>
      </w:r>
      <w:r>
        <w:rPr>
          <w:rFonts w:hint="eastAsia" w:asciiTheme="minorEastAsia" w:hAnsiTheme="minorEastAsia"/>
          <w:color w:val="000000" w:themeColor="text1"/>
          <w:sz w:val="24"/>
          <w:szCs w:val="24"/>
          <w:highlight w:val="none"/>
          <w14:textFill>
            <w14:solidFill>
              <w14:schemeClr w14:val="tx1"/>
            </w14:solidFill>
          </w14:textFill>
        </w:rPr>
        <w:t xml:space="preserve">       泵站设计标准</w:t>
      </w:r>
    </w:p>
    <w:p w14:paraId="21C582AB">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GB50343</w:t>
      </w:r>
      <w:r>
        <w:rPr>
          <w:rFonts w:hint="eastAsia" w:asciiTheme="minorEastAsia" w:hAnsiTheme="minorEastAsia"/>
          <w:color w:val="000000" w:themeColor="text1"/>
          <w:sz w:val="24"/>
          <w:szCs w:val="24"/>
          <w:highlight w:val="none"/>
          <w14:textFill>
            <w14:solidFill>
              <w14:schemeClr w14:val="tx1"/>
            </w14:solidFill>
          </w14:textFill>
        </w:rPr>
        <w:t xml:space="preserve">       建筑物电子信息系统防雷技术规范</w:t>
      </w:r>
    </w:p>
    <w:p w14:paraId="06A07580">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SL583</w:t>
      </w:r>
      <w:r>
        <w:rPr>
          <w:rFonts w:hint="eastAsia" w:asciiTheme="minorEastAsia" w:hAnsiTheme="minorEastAsia"/>
          <w:color w:val="000000" w:themeColor="text1"/>
          <w:sz w:val="24"/>
          <w:szCs w:val="24"/>
          <w:highlight w:val="none"/>
          <w14:textFill>
            <w14:solidFill>
              <w14:schemeClr w14:val="tx1"/>
            </w14:solidFill>
          </w14:textFill>
        </w:rPr>
        <w:t xml:space="preserve">         泵站计算机监控系统与信息系统技术导则</w:t>
      </w:r>
    </w:p>
    <w:p w14:paraId="376F747C">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 xml:space="preserve">SL612 </w:t>
      </w:r>
      <w:r>
        <w:rPr>
          <w:rFonts w:hint="eastAsia" w:asciiTheme="minorEastAsia" w:hAnsiTheme="minorEastAsia"/>
          <w:color w:val="000000" w:themeColor="text1"/>
          <w:sz w:val="24"/>
          <w:szCs w:val="24"/>
          <w:highlight w:val="none"/>
          <w14:textFill>
            <w14:solidFill>
              <w14:schemeClr w14:val="tx1"/>
            </w14:solidFill>
          </w14:textFill>
        </w:rPr>
        <w:t xml:space="preserve">        水利水电工程自动化设计规范</w:t>
      </w:r>
    </w:p>
    <w:p w14:paraId="6CCA3713">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JB/T5234</w:t>
      </w:r>
      <w:r>
        <w:rPr>
          <w:rFonts w:hint="eastAsia" w:asciiTheme="minorEastAsia" w:hAnsiTheme="minorEastAsia"/>
          <w:color w:val="000000" w:themeColor="text1"/>
          <w:sz w:val="24"/>
          <w:szCs w:val="24"/>
          <w:highlight w:val="none"/>
          <w14:textFill>
            <w14:solidFill>
              <w14:schemeClr w14:val="tx1"/>
            </w14:solidFill>
          </w14:textFill>
        </w:rPr>
        <w:t xml:space="preserve">      工业控制计算机系统验收大纲</w:t>
      </w:r>
    </w:p>
    <w:p w14:paraId="242C11C1">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GB/T15969</w:t>
      </w:r>
      <w:r>
        <w:rPr>
          <w:rFonts w:hint="eastAsia" w:asciiTheme="minorEastAsia" w:hAnsiTheme="minorEastAsia"/>
          <w:color w:val="000000" w:themeColor="text1"/>
          <w:sz w:val="24"/>
          <w:szCs w:val="24"/>
          <w:highlight w:val="none"/>
          <w14:textFill>
            <w14:solidFill>
              <w14:schemeClr w14:val="tx1"/>
            </w14:solidFill>
          </w14:textFill>
        </w:rPr>
        <w:t xml:space="preserve">      可编程控制器</w:t>
      </w:r>
    </w:p>
    <w:p w14:paraId="02720C01">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50254</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电气装置安装工程施工及验收规范</w:t>
      </w:r>
    </w:p>
    <w:p w14:paraId="475B4854">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 50168</w:t>
      </w:r>
      <w:r>
        <w:rPr>
          <w:rFonts w:hint="eastAsia" w:asciiTheme="minorEastAsia" w:hAnsiTheme="minorEastAsia"/>
          <w:color w:val="000000" w:themeColor="text1"/>
          <w:sz w:val="24"/>
          <w:szCs w:val="24"/>
          <w:highlight w:val="none"/>
          <w14:textFill>
            <w14:solidFill>
              <w14:schemeClr w14:val="tx1"/>
            </w14:solidFill>
          </w14:textFill>
        </w:rPr>
        <w:t xml:space="preserve">       电气装置安装工程电缆线路施工及验收规范</w:t>
      </w:r>
    </w:p>
    <w:p w14:paraId="4063BB72">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 3</w:t>
      </w:r>
      <w:r>
        <w:rPr>
          <w:rFonts w:hint="eastAsia" w:asciiTheme="minorEastAsia" w:hAnsiTheme="minorEastAsia"/>
          <w:color w:val="000000" w:themeColor="text1"/>
          <w:sz w:val="24"/>
          <w:szCs w:val="24"/>
          <w:highlight w:val="none"/>
          <w14:textFill>
            <w14:solidFill>
              <w14:schemeClr w14:val="tx1"/>
            </w14:solidFill>
          </w14:textFill>
        </w:rPr>
        <w:t xml:space="preserve">  电磁兼容试验和测量技术射频电磁场辐射抗扰度试验</w:t>
      </w:r>
    </w:p>
    <w:p w14:paraId="41F5E6FD">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GB/T 17626. 5</w:t>
      </w:r>
      <w:r>
        <w:rPr>
          <w:rFonts w:hint="eastAsia" w:asciiTheme="minorEastAsia" w:hAnsiTheme="minorEastAsia"/>
          <w:color w:val="000000" w:themeColor="text1"/>
          <w:sz w:val="24"/>
          <w:szCs w:val="24"/>
          <w:highlight w:val="none"/>
          <w14:textFill>
            <w14:solidFill>
              <w14:schemeClr w14:val="tx1"/>
            </w14:solidFill>
          </w14:textFill>
        </w:rPr>
        <w:t xml:space="preserve">  电磁兼容试验和测量技术浪涌(冲击)抗扰度试验</w:t>
      </w:r>
    </w:p>
    <w:p w14:paraId="69E65FBE">
      <w:pPr>
        <w:spacing w:line="360" w:lineRule="auto"/>
        <w:ind w:firstLine="480"/>
        <w:rPr>
          <w:rFonts w:asciiTheme="minorEastAsia" w:hAnsiTheme="minorEastAsia"/>
          <w:color w:val="000000" w:themeColor="text1"/>
          <w:sz w:val="24"/>
          <w:szCs w:val="24"/>
          <w:highlight w:val="none"/>
          <w14:textFill>
            <w14:solidFill>
              <w14:schemeClr w14:val="tx1"/>
            </w14:solidFill>
          </w14:textFill>
        </w:rPr>
      </w:pPr>
      <w:r>
        <w:rPr>
          <w:rFonts w:asciiTheme="minorEastAsia" w:hAnsiTheme="minorEastAsia"/>
          <w:color w:val="000000" w:themeColor="text1"/>
          <w:sz w:val="24"/>
          <w:szCs w:val="24"/>
          <w:highlight w:val="none"/>
          <w14:textFill>
            <w14:solidFill>
              <w14:schemeClr w14:val="tx1"/>
            </w14:solidFill>
          </w14:textFill>
        </w:rPr>
        <w:t>IEC</w:t>
      </w:r>
      <w:r>
        <w:rPr>
          <w:rFonts w:hint="eastAsia" w:asciiTheme="minorEastAsia" w:hAnsiTheme="minorEastAsia"/>
          <w:color w:val="000000" w:themeColor="text1"/>
          <w:sz w:val="24"/>
          <w:szCs w:val="24"/>
          <w:highlight w:val="none"/>
          <w14:textFill>
            <w14:solidFill>
              <w14:schemeClr w14:val="tx1"/>
            </w14:solidFill>
          </w14:textFill>
        </w:rPr>
        <w:t xml:space="preserve"> </w:t>
      </w:r>
      <w:r>
        <w:rPr>
          <w:rFonts w:asciiTheme="minorEastAsia" w:hAnsiTheme="minorEastAsia"/>
          <w:color w:val="000000" w:themeColor="text1"/>
          <w:sz w:val="24"/>
          <w:szCs w:val="24"/>
          <w:highlight w:val="none"/>
          <w14:textFill>
            <w14:solidFill>
              <w14:schemeClr w14:val="tx1"/>
            </w14:solidFill>
          </w14:textFill>
        </w:rPr>
        <w:t>61850</w:t>
      </w:r>
      <w:r>
        <w:rPr>
          <w:rFonts w:hint="eastAsia" w:asciiTheme="minorEastAsia" w:hAnsiTheme="minorEastAsia"/>
          <w:color w:val="000000" w:themeColor="text1"/>
          <w:sz w:val="24"/>
          <w:szCs w:val="24"/>
          <w:highlight w:val="none"/>
          <w14:textFill>
            <w14:solidFill>
              <w14:schemeClr w14:val="tx1"/>
            </w14:solidFill>
          </w14:textFill>
        </w:rPr>
        <w:t xml:space="preserve">       变电站网络与通信协议</w:t>
      </w:r>
    </w:p>
    <w:p w14:paraId="7624D984">
      <w:pPr>
        <w:spacing w:line="360" w:lineRule="auto"/>
        <w:ind w:firstLine="482"/>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备注：1、同类标准中若国家有新颁布实施的，按新标准执行。 </w:t>
      </w:r>
    </w:p>
    <w:p w14:paraId="50BD5801">
      <w:pPr>
        <w:spacing w:line="360" w:lineRule="auto"/>
        <w:ind w:firstLine="1200" w:firstLineChars="500"/>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2、若没有国颁标准的，按相应的行业标准执行。</w:t>
      </w:r>
    </w:p>
    <w:p w14:paraId="4E079573">
      <w:pPr>
        <w:spacing w:line="360" w:lineRule="auto"/>
        <w:outlineLvl w:val="1"/>
        <w:rPr>
          <w:rFonts w:ascii="Times New Roman" w:hAnsi="Times New Roman" w:eastAsia="宋体" w:cs="Times New Roman"/>
          <w:color w:val="000000" w:themeColor="text1"/>
          <w:sz w:val="20"/>
          <w:szCs w:val="20"/>
          <w:highlight w:val="none"/>
          <w14:textFill>
            <w14:solidFill>
              <w14:schemeClr w14:val="tx1"/>
            </w14:solidFill>
          </w14:textFill>
        </w:rPr>
      </w:pPr>
      <w:bookmarkStart w:id="58" w:name="_Toc22011"/>
      <w:r>
        <w:rPr>
          <w:rFonts w:hint="eastAsia" w:ascii="宋体" w:hAnsi="宋体" w:eastAsia="宋体" w:cs="宋体"/>
          <w:b/>
          <w:bCs/>
          <w:color w:val="000000" w:themeColor="text1"/>
          <w:sz w:val="24"/>
          <w:szCs w:val="24"/>
          <w:highlight w:val="none"/>
          <w14:textFill>
            <w14:solidFill>
              <w14:schemeClr w14:val="tx1"/>
            </w14:solidFill>
          </w14:textFill>
        </w:rPr>
        <w:t>三、</w:t>
      </w:r>
      <w:r>
        <w:rPr>
          <w:rFonts w:ascii="宋体" w:hAnsi="宋体" w:eastAsia="宋体" w:cs="宋体"/>
          <w:b/>
          <w:bCs/>
          <w:color w:val="000000" w:themeColor="text1"/>
          <w:sz w:val="24"/>
          <w:szCs w:val="24"/>
          <w:highlight w:val="none"/>
          <w14:textFill>
            <w14:solidFill>
              <w14:schemeClr w14:val="tx1"/>
            </w14:solidFill>
          </w14:textFill>
        </w:rPr>
        <w:t>主要工程量</w:t>
      </w:r>
      <w:bookmarkEnd w:id="58"/>
      <w:r>
        <w:rPr>
          <w:rFonts w:ascii="宋体" w:hAnsi="宋体" w:eastAsia="宋体" w:cs="宋体"/>
          <w:b/>
          <w:bCs/>
          <w:color w:val="000000" w:themeColor="text1"/>
          <w:sz w:val="24"/>
          <w:szCs w:val="24"/>
          <w:highlight w:val="none"/>
          <w14:textFill>
            <w14:solidFill>
              <w14:schemeClr w14:val="tx1"/>
            </w14:solidFill>
          </w14:textFill>
        </w:rPr>
        <w:t>及技术要求</w:t>
      </w:r>
    </w:p>
    <w:tbl>
      <w:tblPr>
        <w:tblStyle w:val="51"/>
        <w:tblW w:w="0" w:type="auto"/>
        <w:tblInd w:w="113" w:type="dxa"/>
        <w:tblLayout w:type="fixed"/>
        <w:tblCellMar>
          <w:top w:w="0" w:type="dxa"/>
          <w:left w:w="108" w:type="dxa"/>
          <w:bottom w:w="0" w:type="dxa"/>
          <w:right w:w="108" w:type="dxa"/>
        </w:tblCellMar>
      </w:tblPr>
      <w:tblGrid>
        <w:gridCol w:w="704"/>
        <w:gridCol w:w="1276"/>
        <w:gridCol w:w="2410"/>
        <w:gridCol w:w="850"/>
        <w:gridCol w:w="992"/>
        <w:gridCol w:w="1134"/>
        <w:gridCol w:w="883"/>
        <w:gridCol w:w="868"/>
      </w:tblGrid>
      <w:tr w14:paraId="14AE9FE2">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2CD265B7">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序号</w:t>
            </w:r>
          </w:p>
        </w:tc>
        <w:tc>
          <w:tcPr>
            <w:tcW w:w="1276" w:type="dxa"/>
            <w:tcBorders>
              <w:top w:val="single" w:color="auto" w:sz="4" w:space="0"/>
              <w:left w:val="nil"/>
              <w:bottom w:val="single" w:color="auto" w:sz="4" w:space="0"/>
              <w:right w:val="single" w:color="auto" w:sz="4" w:space="0"/>
            </w:tcBorders>
            <w:noWrap/>
            <w:vAlign w:val="center"/>
          </w:tcPr>
          <w:p w14:paraId="72ACE44E">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项目名称</w:t>
            </w:r>
          </w:p>
        </w:tc>
        <w:tc>
          <w:tcPr>
            <w:tcW w:w="2410" w:type="dxa"/>
            <w:tcBorders>
              <w:top w:val="single" w:color="auto" w:sz="4" w:space="0"/>
              <w:left w:val="nil"/>
              <w:bottom w:val="single" w:color="auto" w:sz="4" w:space="0"/>
              <w:right w:val="single" w:color="auto" w:sz="4" w:space="0"/>
            </w:tcBorders>
            <w:noWrap/>
            <w:vAlign w:val="center"/>
          </w:tcPr>
          <w:p w14:paraId="7DF9A273">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项目特征</w:t>
            </w:r>
            <w:r>
              <w:rPr>
                <w:rFonts w:ascii="Times New Roman" w:hAnsi="Times New Roman" w:eastAsia="宋体" w:cs="Times New Roman"/>
                <w:b/>
                <w:bCs/>
                <w:color w:val="000000" w:themeColor="text1"/>
                <w:szCs w:val="21"/>
                <w:highlight w:val="none"/>
                <w14:textFill>
                  <w14:solidFill>
                    <w14:schemeClr w14:val="tx1"/>
                  </w14:solidFill>
                </w14:textFill>
              </w:rPr>
              <w:t>(</w:t>
            </w:r>
            <w:r>
              <w:rPr>
                <w:rFonts w:ascii="Times New Roman" w:hAnsi="宋体" w:eastAsia="宋体" w:cs="Times New Roman"/>
                <w:b/>
                <w:bCs/>
                <w:color w:val="000000" w:themeColor="text1"/>
                <w:szCs w:val="21"/>
                <w:highlight w:val="none"/>
                <w14:textFill>
                  <w14:solidFill>
                    <w14:schemeClr w14:val="tx1"/>
                  </w14:solidFill>
                </w14:textFill>
              </w:rPr>
              <w:t>含规格、型号等</w:t>
            </w:r>
          </w:p>
        </w:tc>
        <w:tc>
          <w:tcPr>
            <w:tcW w:w="850" w:type="dxa"/>
            <w:tcBorders>
              <w:top w:val="single" w:color="auto" w:sz="4" w:space="0"/>
              <w:left w:val="nil"/>
              <w:bottom w:val="single" w:color="auto" w:sz="4" w:space="0"/>
              <w:right w:val="single" w:color="auto" w:sz="4" w:space="0"/>
            </w:tcBorders>
            <w:noWrap/>
            <w:vAlign w:val="center"/>
          </w:tcPr>
          <w:p w14:paraId="0895392A">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单位</w:t>
            </w:r>
          </w:p>
        </w:tc>
        <w:tc>
          <w:tcPr>
            <w:tcW w:w="992" w:type="dxa"/>
            <w:tcBorders>
              <w:top w:val="single" w:color="auto" w:sz="4" w:space="0"/>
              <w:left w:val="nil"/>
              <w:bottom w:val="single" w:color="auto" w:sz="4" w:space="0"/>
              <w:right w:val="single" w:color="auto" w:sz="4" w:space="0"/>
            </w:tcBorders>
            <w:noWrap/>
            <w:vAlign w:val="center"/>
          </w:tcPr>
          <w:p w14:paraId="614F5C1A">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工程量</w:t>
            </w:r>
          </w:p>
        </w:tc>
        <w:tc>
          <w:tcPr>
            <w:tcW w:w="1134" w:type="dxa"/>
            <w:tcBorders>
              <w:top w:val="single" w:color="auto" w:sz="4" w:space="0"/>
              <w:left w:val="nil"/>
              <w:bottom w:val="single" w:color="auto" w:sz="4" w:space="0"/>
              <w:right w:val="single" w:color="auto" w:sz="4" w:space="0"/>
            </w:tcBorders>
            <w:noWrap/>
            <w:vAlign w:val="center"/>
          </w:tcPr>
          <w:p w14:paraId="7A783D21">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全费用单价（元）</w:t>
            </w:r>
          </w:p>
        </w:tc>
        <w:tc>
          <w:tcPr>
            <w:tcW w:w="883" w:type="dxa"/>
            <w:tcBorders>
              <w:top w:val="single" w:color="auto" w:sz="4" w:space="0"/>
              <w:left w:val="nil"/>
              <w:bottom w:val="single" w:color="auto" w:sz="4" w:space="0"/>
              <w:right w:val="single" w:color="auto" w:sz="4" w:space="0"/>
            </w:tcBorders>
            <w:noWrap/>
            <w:vAlign w:val="center"/>
          </w:tcPr>
          <w:p w14:paraId="2272AC88">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合计（元）</w:t>
            </w:r>
          </w:p>
        </w:tc>
        <w:tc>
          <w:tcPr>
            <w:tcW w:w="868" w:type="dxa"/>
            <w:tcBorders>
              <w:top w:val="single" w:color="auto" w:sz="4" w:space="0"/>
              <w:left w:val="nil"/>
              <w:bottom w:val="single" w:color="auto" w:sz="4" w:space="0"/>
              <w:right w:val="single" w:color="auto" w:sz="4" w:space="0"/>
            </w:tcBorders>
            <w:noWrap/>
            <w:vAlign w:val="center"/>
          </w:tcPr>
          <w:p w14:paraId="7ADCD984">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备注</w:t>
            </w:r>
          </w:p>
        </w:tc>
      </w:tr>
      <w:tr w14:paraId="7DF1AB49">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7ABAAAB9">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一</w:t>
            </w:r>
          </w:p>
        </w:tc>
        <w:tc>
          <w:tcPr>
            <w:tcW w:w="1276" w:type="dxa"/>
            <w:tcBorders>
              <w:top w:val="nil"/>
              <w:left w:val="nil"/>
              <w:bottom w:val="single" w:color="auto" w:sz="4" w:space="0"/>
              <w:right w:val="single" w:color="auto" w:sz="4" w:space="0"/>
            </w:tcBorders>
            <w:vAlign w:val="center"/>
          </w:tcPr>
          <w:p w14:paraId="6989C664">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站控层设备</w:t>
            </w:r>
          </w:p>
        </w:tc>
        <w:tc>
          <w:tcPr>
            <w:tcW w:w="2410" w:type="dxa"/>
            <w:tcBorders>
              <w:top w:val="nil"/>
              <w:left w:val="nil"/>
              <w:bottom w:val="single" w:color="auto" w:sz="4" w:space="0"/>
              <w:right w:val="single" w:color="auto" w:sz="4" w:space="0"/>
            </w:tcBorders>
            <w:vAlign w:val="center"/>
          </w:tcPr>
          <w:p w14:paraId="53806D89">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2B9272D3">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1E985B6A">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54B08F86">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74B1A213">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5E99FB3B">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r>
      <w:tr w14:paraId="25B87C09">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33F9789E">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vAlign w:val="center"/>
          </w:tcPr>
          <w:p w14:paraId="5FE30AF4">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站内自动化控制</w:t>
            </w:r>
          </w:p>
        </w:tc>
        <w:tc>
          <w:tcPr>
            <w:tcW w:w="2410" w:type="dxa"/>
            <w:tcBorders>
              <w:top w:val="nil"/>
              <w:left w:val="nil"/>
              <w:bottom w:val="single" w:color="auto" w:sz="4" w:space="0"/>
              <w:right w:val="single" w:color="auto" w:sz="4" w:space="0"/>
            </w:tcBorders>
            <w:vAlign w:val="center"/>
          </w:tcPr>
          <w:p w14:paraId="1E7B2670">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686B150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1FBC491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72EA7142">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5DC0025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6C996B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3CA71C4C">
        <w:tblPrEx>
          <w:tblCellMar>
            <w:top w:w="0" w:type="dxa"/>
            <w:left w:w="108" w:type="dxa"/>
            <w:bottom w:w="0" w:type="dxa"/>
            <w:right w:w="108" w:type="dxa"/>
          </w:tblCellMar>
        </w:tblPrEx>
        <w:trPr>
          <w:cantSplit/>
          <w:trHeight w:val="136" w:hRule="atLeast"/>
        </w:trPr>
        <w:tc>
          <w:tcPr>
            <w:tcW w:w="704" w:type="dxa"/>
            <w:tcBorders>
              <w:top w:val="single" w:color="auto" w:sz="4" w:space="0"/>
              <w:left w:val="single" w:color="auto" w:sz="4" w:space="0"/>
              <w:bottom w:val="single" w:color="auto" w:sz="4" w:space="0"/>
              <w:right w:val="single" w:color="auto" w:sz="4" w:space="0"/>
            </w:tcBorders>
            <w:vAlign w:val="center"/>
          </w:tcPr>
          <w:p w14:paraId="6C98148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3B91F778">
            <w:pPr>
              <w:widowControl/>
              <w:wordWrap w:val="0"/>
              <w:spacing w:line="240" w:lineRule="atLeast"/>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工控机</w:t>
            </w:r>
          </w:p>
        </w:tc>
        <w:tc>
          <w:tcPr>
            <w:tcW w:w="2410" w:type="dxa"/>
            <w:tcBorders>
              <w:top w:val="single" w:color="auto" w:sz="4" w:space="0"/>
              <w:left w:val="nil"/>
              <w:bottom w:val="single" w:color="auto" w:sz="4" w:space="0"/>
              <w:right w:val="single" w:color="auto" w:sz="4" w:space="0"/>
            </w:tcBorders>
            <w:vAlign w:val="center"/>
          </w:tcPr>
          <w:p w14:paraId="0D6D2612">
            <w:pPr>
              <w:wordWrap w:val="0"/>
              <w:adjustRightInd w:val="0"/>
              <w:snapToGrid w:val="0"/>
              <w:spacing w:line="240" w:lineRule="atLeast"/>
              <w:outlineLvl w:val="2"/>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300W\双通道(Non-ECC) DDR41866/2133MHz</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 </w:t>
            </w:r>
            <w:r>
              <w:rPr>
                <w:rFonts w:ascii="Times New Roman" w:hAnsi="Times New Roman" w:eastAsia="宋体" w:cs="Times New Roman"/>
                <w:color w:val="000000" w:themeColor="text1"/>
                <w:szCs w:val="21"/>
                <w:highlight w:val="none"/>
                <w14:textFill>
                  <w14:solidFill>
                    <w14:schemeClr w14:val="tx1"/>
                  </w14:solidFill>
                </w14:textFill>
              </w:rPr>
              <w:t>高达32GB(16GBper DIMM)，2</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太网接口 10/100/1000 Mbps</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4通道SATA 600MB/s，1</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CIe x16 (Gen3)和1</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CIe x4 (Gen2)和5</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CI扩展槽\I7 4核 3.6GHz，up to 4.2GHz，内置HD 630核显\16G\≥512SSD固态硬盘，4T机械硬盘\USB键鼠\DVD\2*千兆网口\32寸显示器\含Windows 2012 server 中文标准版，配套报表输出设备。</w:t>
            </w:r>
          </w:p>
        </w:tc>
        <w:tc>
          <w:tcPr>
            <w:tcW w:w="850" w:type="dxa"/>
            <w:tcBorders>
              <w:top w:val="single" w:color="auto" w:sz="4" w:space="0"/>
              <w:left w:val="nil"/>
              <w:bottom w:val="single" w:color="auto" w:sz="4" w:space="0"/>
              <w:right w:val="single" w:color="auto" w:sz="4" w:space="0"/>
            </w:tcBorders>
            <w:vAlign w:val="center"/>
          </w:tcPr>
          <w:p w14:paraId="742EA3C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35B0B49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1B35671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44FFE33A">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2DBB6B7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637F9AB3">
        <w:tblPrEx>
          <w:tblCellMar>
            <w:top w:w="0" w:type="dxa"/>
            <w:left w:w="108" w:type="dxa"/>
            <w:bottom w:w="0" w:type="dxa"/>
            <w:right w:w="108" w:type="dxa"/>
          </w:tblCellMar>
        </w:tblPrEx>
        <w:trPr>
          <w:cantSplit/>
          <w:trHeight w:val="531" w:hRule="atLeast"/>
        </w:trPr>
        <w:tc>
          <w:tcPr>
            <w:tcW w:w="704" w:type="dxa"/>
            <w:tcBorders>
              <w:top w:val="single" w:color="auto" w:sz="4" w:space="0"/>
              <w:left w:val="single" w:color="auto" w:sz="4" w:space="0"/>
              <w:bottom w:val="single" w:color="auto" w:sz="4" w:space="0"/>
              <w:right w:val="single" w:color="auto" w:sz="4" w:space="0"/>
            </w:tcBorders>
            <w:vAlign w:val="center"/>
          </w:tcPr>
          <w:p w14:paraId="4B6CD1A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(2)</w:t>
            </w:r>
          </w:p>
        </w:tc>
        <w:tc>
          <w:tcPr>
            <w:tcW w:w="1276" w:type="dxa"/>
            <w:tcBorders>
              <w:top w:val="single" w:color="auto" w:sz="4" w:space="0"/>
              <w:left w:val="nil"/>
              <w:bottom w:val="single" w:color="auto" w:sz="4" w:space="0"/>
              <w:right w:val="single" w:color="auto" w:sz="4" w:space="0"/>
            </w:tcBorders>
            <w:vAlign w:val="center"/>
          </w:tcPr>
          <w:p w14:paraId="0B1712BE">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数据库开发</w:t>
            </w:r>
          </w:p>
        </w:tc>
        <w:tc>
          <w:tcPr>
            <w:tcW w:w="2410" w:type="dxa"/>
            <w:tcBorders>
              <w:top w:val="single" w:color="auto" w:sz="4" w:space="0"/>
              <w:left w:val="nil"/>
              <w:bottom w:val="single" w:color="auto" w:sz="4" w:space="0"/>
              <w:right w:val="single" w:color="auto" w:sz="4" w:space="0"/>
            </w:tcBorders>
            <w:vAlign w:val="center"/>
          </w:tcPr>
          <w:p w14:paraId="4EEDAD4B">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自研，标准数据库格式。</w:t>
            </w:r>
          </w:p>
        </w:tc>
        <w:tc>
          <w:tcPr>
            <w:tcW w:w="850" w:type="dxa"/>
            <w:tcBorders>
              <w:top w:val="single" w:color="auto" w:sz="4" w:space="0"/>
              <w:left w:val="nil"/>
              <w:bottom w:val="single" w:color="auto" w:sz="4" w:space="0"/>
              <w:right w:val="single" w:color="auto" w:sz="4" w:space="0"/>
            </w:tcBorders>
            <w:vAlign w:val="center"/>
          </w:tcPr>
          <w:p w14:paraId="4A28ED9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vAlign w:val="center"/>
          </w:tcPr>
          <w:p w14:paraId="5DB9657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089D2DC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0E68F4C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104B481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469CEB5B">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vAlign w:val="center"/>
          </w:tcPr>
          <w:p w14:paraId="1293778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333376A8">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上位机组态定制开发</w:t>
            </w:r>
          </w:p>
        </w:tc>
        <w:tc>
          <w:tcPr>
            <w:tcW w:w="2410" w:type="dxa"/>
            <w:tcBorders>
              <w:top w:val="nil"/>
              <w:left w:val="nil"/>
              <w:bottom w:val="single" w:color="auto" w:sz="4" w:space="0"/>
              <w:right w:val="single" w:color="auto" w:sz="4" w:space="0"/>
            </w:tcBorders>
            <w:vAlign w:val="center"/>
          </w:tcPr>
          <w:p w14:paraId="5C3CE5D5">
            <w:pPr>
              <w:widowControl/>
              <w:spacing w:line="240" w:lineRule="atLeast"/>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自研，含控制功能、报警制开发功能、实时运行报表、历史报表、曲线等。</w:t>
            </w:r>
          </w:p>
        </w:tc>
        <w:tc>
          <w:tcPr>
            <w:tcW w:w="850" w:type="dxa"/>
            <w:tcBorders>
              <w:top w:val="nil"/>
              <w:left w:val="nil"/>
              <w:bottom w:val="single" w:color="auto" w:sz="4" w:space="0"/>
              <w:right w:val="single" w:color="auto" w:sz="4" w:space="0"/>
            </w:tcBorders>
            <w:vAlign w:val="center"/>
          </w:tcPr>
          <w:p w14:paraId="7873D02A">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6EDF034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7D76491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31BC515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0E516A9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2BBEA824">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3454BA8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(4)</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3E6AC3CE">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PLC</w:t>
            </w:r>
            <w:r>
              <w:rPr>
                <w:rFonts w:ascii="Times New Roman" w:hAnsi="宋体" w:eastAsia="宋体" w:cs="Times New Roman"/>
                <w:color w:val="000000" w:themeColor="text1"/>
                <w:szCs w:val="21"/>
                <w:highlight w:val="none"/>
                <w14:textFill>
                  <w14:solidFill>
                    <w14:schemeClr w14:val="tx1"/>
                  </w14:solidFill>
                </w14:textFill>
              </w:rPr>
              <w:t>及触摸屏程序开发</w:t>
            </w:r>
          </w:p>
        </w:tc>
        <w:tc>
          <w:tcPr>
            <w:tcW w:w="2410" w:type="dxa"/>
            <w:tcBorders>
              <w:top w:val="nil"/>
              <w:left w:val="nil"/>
              <w:bottom w:val="single" w:color="auto" w:sz="4" w:space="0"/>
              <w:right w:val="single" w:color="auto" w:sz="4" w:space="0"/>
            </w:tcBorders>
            <w:vAlign w:val="center"/>
          </w:tcPr>
          <w:p w14:paraId="7A924AE5">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自研</w:t>
            </w:r>
          </w:p>
        </w:tc>
        <w:tc>
          <w:tcPr>
            <w:tcW w:w="850" w:type="dxa"/>
            <w:tcBorders>
              <w:top w:val="nil"/>
              <w:left w:val="nil"/>
              <w:bottom w:val="single" w:color="auto" w:sz="4" w:space="0"/>
              <w:right w:val="single" w:color="auto" w:sz="4" w:space="0"/>
            </w:tcBorders>
            <w:vAlign w:val="center"/>
          </w:tcPr>
          <w:p w14:paraId="348BC33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0A6B81A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0A38373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1843280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04E9E50">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18254A08">
        <w:tblPrEx>
          <w:tblCellMar>
            <w:top w:w="0" w:type="dxa"/>
            <w:left w:w="108" w:type="dxa"/>
            <w:bottom w:w="0" w:type="dxa"/>
            <w:right w:w="108" w:type="dxa"/>
          </w:tblCellMar>
        </w:tblPrEx>
        <w:trPr>
          <w:cantSplit/>
          <w:trHeight w:val="1400" w:hRule="atLeast"/>
        </w:trPr>
        <w:tc>
          <w:tcPr>
            <w:tcW w:w="704" w:type="dxa"/>
            <w:tcBorders>
              <w:top w:val="nil"/>
              <w:left w:val="single" w:color="auto" w:sz="4" w:space="0"/>
              <w:bottom w:val="single" w:color="auto" w:sz="4" w:space="0"/>
              <w:right w:val="single" w:color="auto" w:sz="4" w:space="0"/>
            </w:tcBorders>
            <w:vAlign w:val="center"/>
          </w:tcPr>
          <w:p w14:paraId="4701AAA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r>
              <w:rPr>
                <w:rFonts w:ascii="Times New Roman" w:hAnsi="Times New Roman" w:eastAsia="宋体" w:cs="Times New Roman"/>
                <w:color w:val="000000" w:themeColor="text1"/>
                <w:szCs w:val="21"/>
                <w:highlight w:val="none"/>
                <w14:textFill>
                  <w14:solidFill>
                    <w14:schemeClr w14:val="tx1"/>
                  </w14:solidFill>
                </w14:textFill>
              </w:rPr>
              <w:t>(5)</w:t>
            </w:r>
          </w:p>
        </w:tc>
        <w:tc>
          <w:tcPr>
            <w:tcW w:w="1276" w:type="dxa"/>
            <w:tcBorders>
              <w:top w:val="nil"/>
              <w:left w:val="nil"/>
              <w:bottom w:val="single" w:color="auto" w:sz="4" w:space="0"/>
              <w:right w:val="single" w:color="auto" w:sz="4" w:space="0"/>
            </w:tcBorders>
            <w:vAlign w:val="center"/>
          </w:tcPr>
          <w:p w14:paraId="0872757B">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PLC</w:t>
            </w:r>
            <w:r>
              <w:rPr>
                <w:rFonts w:ascii="Times New Roman" w:hAnsi="宋体" w:eastAsia="宋体" w:cs="Times New Roman"/>
                <w:color w:val="000000" w:themeColor="text1"/>
                <w:szCs w:val="21"/>
                <w:highlight w:val="none"/>
                <w14:textFill>
                  <w14:solidFill>
                    <w14:schemeClr w14:val="tx1"/>
                  </w14:solidFill>
                </w14:textFill>
              </w:rPr>
              <w:t>柜</w:t>
            </w:r>
          </w:p>
        </w:tc>
        <w:tc>
          <w:tcPr>
            <w:tcW w:w="2410" w:type="dxa"/>
            <w:tcBorders>
              <w:top w:val="nil"/>
              <w:left w:val="nil"/>
              <w:bottom w:val="single" w:color="auto" w:sz="4" w:space="0"/>
              <w:right w:val="single" w:color="auto" w:sz="4" w:space="0"/>
            </w:tcBorders>
            <w:vAlign w:val="center"/>
          </w:tcPr>
          <w:p w14:paraId="056FB386">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含</w:t>
            </w:r>
            <w:r>
              <w:rPr>
                <w:rFonts w:ascii="Times New Roman" w:hAnsi="Times New Roman" w:eastAsia="宋体" w:cs="Times New Roman"/>
                <w:color w:val="000000" w:themeColor="text1"/>
                <w:szCs w:val="21"/>
                <w:highlight w:val="none"/>
                <w14:textFill>
                  <w14:solidFill>
                    <w14:schemeClr w14:val="tx1"/>
                  </w14:solidFill>
                </w14:textFill>
              </w:rPr>
              <w:t>PLC</w:t>
            </w:r>
            <w:r>
              <w:rPr>
                <w:rFonts w:ascii="Times New Roman" w:hAnsi="宋体" w:eastAsia="宋体" w:cs="Times New Roman"/>
                <w:color w:val="000000" w:themeColor="text1"/>
                <w:szCs w:val="21"/>
                <w:highlight w:val="none"/>
                <w14:textFill>
                  <w14:solidFill>
                    <w14:schemeClr w14:val="tx1"/>
                  </w14:solidFill>
                </w14:textFill>
              </w:rPr>
              <w:t>（自主可控</w:t>
            </w:r>
            <w:r>
              <w:rPr>
                <w:rFonts w:ascii="Times New Roman" w:hAnsi="Times New Roman" w:eastAsia="宋体" w:cs="Times New Roman"/>
                <w:color w:val="000000" w:themeColor="text1"/>
                <w:szCs w:val="21"/>
                <w:highlight w:val="none"/>
                <w14:textFill>
                  <w14:solidFill>
                    <w14:schemeClr w14:val="tx1"/>
                  </w14:solidFill>
                </w14:textFill>
              </w:rPr>
              <w:t>CPU</w:t>
            </w:r>
            <w:r>
              <w:rPr>
                <w:rFonts w:ascii="Times New Roman" w:hAnsi="宋体" w:eastAsia="宋体" w:cs="Times New Roman"/>
                <w:color w:val="000000" w:themeColor="text1"/>
                <w:szCs w:val="21"/>
                <w:highlight w:val="none"/>
                <w14:textFill>
                  <w14:solidFill>
                    <w14:schemeClr w14:val="tx1"/>
                  </w14:solidFill>
                </w14:textFill>
              </w:rPr>
              <w:t>，主频</w:t>
            </w:r>
            <w:r>
              <w:rPr>
                <w:rFonts w:ascii="Times New Roman" w:hAnsi="Times New Roman" w:eastAsia="宋体" w:cs="Times New Roman"/>
                <w:color w:val="000000" w:themeColor="text1"/>
                <w:szCs w:val="21"/>
                <w:highlight w:val="none"/>
                <w14:textFill>
                  <w14:solidFill>
                    <w14:schemeClr w14:val="tx1"/>
                  </w14:solidFill>
                </w14:textFill>
              </w:rPr>
              <w:t>≥1GHz</w:t>
            </w:r>
            <w:r>
              <w:rPr>
                <w:rFonts w:ascii="Times New Roman" w:hAnsi="宋体" w:eastAsia="宋体" w:cs="Times New Roman"/>
                <w:color w:val="000000" w:themeColor="text1"/>
                <w:szCs w:val="21"/>
                <w:highlight w:val="none"/>
                <w14:textFill>
                  <w14:solidFill>
                    <w14:schemeClr w14:val="tx1"/>
                  </w14:solidFill>
                </w14:textFill>
              </w:rPr>
              <w:t>，自带两路独立</w:t>
            </w:r>
            <w:r>
              <w:rPr>
                <w:rFonts w:ascii="Times New Roman" w:hAnsi="Times New Roman" w:eastAsia="宋体" w:cs="Times New Roman"/>
                <w:color w:val="000000" w:themeColor="text1"/>
                <w:szCs w:val="21"/>
                <w:highlight w:val="none"/>
                <w14:textFill>
                  <w14:solidFill>
                    <w14:schemeClr w14:val="tx1"/>
                  </w14:solidFill>
                </w14:textFill>
              </w:rPr>
              <w:t>IP</w:t>
            </w:r>
            <w:r>
              <w:rPr>
                <w:rFonts w:ascii="Times New Roman" w:hAnsi="宋体" w:eastAsia="宋体" w:cs="Times New Roman"/>
                <w:color w:val="000000" w:themeColor="text1"/>
                <w:szCs w:val="21"/>
                <w:highlight w:val="none"/>
                <w14:textFill>
                  <w14:solidFill>
                    <w14:schemeClr w14:val="tx1"/>
                  </w14:solidFill>
                </w14:textFill>
              </w:rPr>
              <w:t>以太网口，</w:t>
            </w:r>
            <w:r>
              <w:rPr>
                <w:rFonts w:ascii="Times New Roman" w:hAnsi="Times New Roman" w:eastAsia="宋体" w:cs="Times New Roman"/>
                <w:color w:val="000000" w:themeColor="text1"/>
                <w:szCs w:val="21"/>
                <w:highlight w:val="none"/>
                <w14:textFill>
                  <w14:solidFill>
                    <w14:schemeClr w14:val="tx1"/>
                  </w14:solidFill>
                </w14:textFill>
              </w:rPr>
              <w:t>DI≥192</w:t>
            </w:r>
            <w:r>
              <w:rPr>
                <w:rFonts w:ascii="Times New Roman" w:hAnsi="宋体"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DO≥128</w:t>
            </w:r>
            <w:r>
              <w:rPr>
                <w:rFonts w:ascii="Times New Roman" w:hAnsi="宋体"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szCs w:val="21"/>
                <w:highlight w:val="none"/>
                <w14:textFill>
                  <w14:solidFill>
                    <w14:schemeClr w14:val="tx1"/>
                  </w14:solidFill>
                </w14:textFill>
              </w:rPr>
              <w:t>AI≥16</w:t>
            </w:r>
            <w:r>
              <w:rPr>
                <w:rFonts w:ascii="Times New Roman" w:hAnsi="宋体" w:eastAsia="宋体" w:cs="Times New Roman"/>
                <w:color w:val="000000" w:themeColor="text1"/>
                <w:szCs w:val="21"/>
                <w:highlight w:val="none"/>
                <w14:textFill>
                  <w14:solidFill>
                    <w14:schemeClr w14:val="tx1"/>
                  </w14:solidFill>
                </w14:textFill>
              </w:rPr>
              <w:t>，配套底板等必须设备）、</w:t>
            </w:r>
            <w:r>
              <w:rPr>
                <w:rFonts w:ascii="Times New Roman" w:hAnsi="Times New Roman" w:eastAsia="宋体" w:cs="Times New Roman"/>
                <w:color w:val="000000" w:themeColor="text1"/>
                <w:szCs w:val="21"/>
                <w:highlight w:val="none"/>
                <w14:textFill>
                  <w14:solidFill>
                    <w14:schemeClr w14:val="tx1"/>
                  </w14:solidFill>
                </w14:textFill>
              </w:rPr>
              <w:t>15</w:t>
            </w:r>
            <w:r>
              <w:rPr>
                <w:rFonts w:ascii="Times New Roman" w:hAnsi="宋体" w:eastAsia="宋体" w:cs="Times New Roman"/>
                <w:color w:val="000000" w:themeColor="text1"/>
                <w:szCs w:val="21"/>
                <w:highlight w:val="none"/>
                <w14:textFill>
                  <w14:solidFill>
                    <w14:schemeClr w14:val="tx1"/>
                  </w14:solidFill>
                </w14:textFill>
              </w:rPr>
              <w:t>寸触摸屏、网络设备、继电器、空开、开关电源、端子排、照明、温湿度控制等。详见附表一：</w:t>
            </w:r>
            <w:r>
              <w:rPr>
                <w:rFonts w:ascii="Times New Roman" w:hAnsi="Times New Roman" w:eastAsia="宋体" w:cs="Times New Roman"/>
                <w:color w:val="000000" w:themeColor="text1"/>
                <w:szCs w:val="21"/>
                <w:highlight w:val="none"/>
                <w14:textFill>
                  <w14:solidFill>
                    <w14:schemeClr w14:val="tx1"/>
                  </w14:solidFill>
                </w14:textFill>
              </w:rPr>
              <w:t>PLC</w:t>
            </w:r>
            <w:r>
              <w:rPr>
                <w:rFonts w:ascii="Times New Roman" w:hAnsi="宋体" w:eastAsia="宋体" w:cs="Times New Roman"/>
                <w:color w:val="000000" w:themeColor="text1"/>
                <w:szCs w:val="21"/>
                <w:highlight w:val="none"/>
                <w14:textFill>
                  <w14:solidFill>
                    <w14:schemeClr w14:val="tx1"/>
                  </w14:solidFill>
                </w14:textFill>
              </w:rPr>
              <w:t>柜配置表</w:t>
            </w:r>
          </w:p>
        </w:tc>
        <w:tc>
          <w:tcPr>
            <w:tcW w:w="850" w:type="dxa"/>
            <w:tcBorders>
              <w:top w:val="nil"/>
              <w:left w:val="nil"/>
              <w:bottom w:val="single" w:color="auto" w:sz="4" w:space="0"/>
              <w:right w:val="single" w:color="auto" w:sz="4" w:space="0"/>
            </w:tcBorders>
            <w:vAlign w:val="center"/>
          </w:tcPr>
          <w:p w14:paraId="7787CE0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vAlign w:val="center"/>
          </w:tcPr>
          <w:p w14:paraId="3D91F7C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3CF760C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2FFA4F4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63D37C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p>
        </w:tc>
      </w:tr>
      <w:tr w14:paraId="1082A311">
        <w:tblPrEx>
          <w:tblCellMar>
            <w:top w:w="0" w:type="dxa"/>
            <w:left w:w="108" w:type="dxa"/>
            <w:bottom w:w="0" w:type="dxa"/>
            <w:right w:w="108" w:type="dxa"/>
          </w:tblCellMar>
        </w:tblPrEx>
        <w:trPr>
          <w:cantSplit/>
          <w:trHeight w:val="363" w:hRule="atLeast"/>
        </w:trPr>
        <w:tc>
          <w:tcPr>
            <w:tcW w:w="704" w:type="dxa"/>
            <w:tcBorders>
              <w:top w:val="nil"/>
              <w:left w:val="single" w:color="auto" w:sz="4" w:space="0"/>
              <w:bottom w:val="single" w:color="auto" w:sz="4" w:space="0"/>
              <w:right w:val="single" w:color="auto" w:sz="4" w:space="0"/>
            </w:tcBorders>
            <w:vAlign w:val="center"/>
          </w:tcPr>
          <w:p w14:paraId="5E6DECF4">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661D04AE">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站内通信柜</w:t>
            </w:r>
          </w:p>
        </w:tc>
        <w:tc>
          <w:tcPr>
            <w:tcW w:w="2410" w:type="dxa"/>
            <w:tcBorders>
              <w:top w:val="nil"/>
              <w:left w:val="nil"/>
              <w:bottom w:val="single" w:color="auto" w:sz="4" w:space="0"/>
              <w:right w:val="single" w:color="auto" w:sz="4" w:space="0"/>
            </w:tcBorders>
            <w:vAlign w:val="center"/>
          </w:tcPr>
          <w:p w14:paraId="7481302C">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427772F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662272E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4BAC8C8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734FE7A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center"/>
          </w:tcPr>
          <w:p w14:paraId="3987F970">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4C91072B">
        <w:tblPrEx>
          <w:tblCellMar>
            <w:top w:w="0" w:type="dxa"/>
            <w:left w:w="108" w:type="dxa"/>
            <w:bottom w:w="0" w:type="dxa"/>
            <w:right w:w="108" w:type="dxa"/>
          </w:tblCellMar>
        </w:tblPrEx>
        <w:trPr>
          <w:cantSplit/>
          <w:trHeight w:val="942" w:hRule="atLeast"/>
        </w:trPr>
        <w:tc>
          <w:tcPr>
            <w:tcW w:w="704" w:type="dxa"/>
            <w:tcBorders>
              <w:top w:val="nil"/>
              <w:left w:val="single" w:color="auto" w:sz="4" w:space="0"/>
              <w:bottom w:val="single" w:color="auto" w:sz="4" w:space="0"/>
              <w:right w:val="single" w:color="auto" w:sz="4" w:space="0"/>
            </w:tcBorders>
            <w:vAlign w:val="center"/>
          </w:tcPr>
          <w:p w14:paraId="72242D8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07757E16">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通信管理机</w:t>
            </w:r>
          </w:p>
        </w:tc>
        <w:tc>
          <w:tcPr>
            <w:tcW w:w="2410" w:type="dxa"/>
            <w:tcBorders>
              <w:top w:val="nil"/>
              <w:left w:val="nil"/>
              <w:bottom w:val="single" w:color="auto" w:sz="4" w:space="0"/>
              <w:right w:val="single" w:color="auto" w:sz="4" w:space="0"/>
            </w:tcBorders>
            <w:vAlign w:val="center"/>
          </w:tcPr>
          <w:p w14:paraId="4A5B47F0">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16</w:t>
            </w:r>
            <w:r>
              <w:rPr>
                <w:rFonts w:ascii="Times New Roman" w:hAnsi="宋体" w:eastAsia="宋体" w:cs="Times New Roman"/>
                <w:color w:val="000000" w:themeColor="text1"/>
                <w:szCs w:val="21"/>
                <w:highlight w:val="none"/>
                <w14:textFill>
                  <w14:solidFill>
                    <w14:schemeClr w14:val="tx1"/>
                  </w14:solidFill>
                </w14:textFill>
              </w:rPr>
              <w:t>路串口，</w:t>
            </w:r>
            <w:r>
              <w:rPr>
                <w:rFonts w:ascii="Times New Roman" w:hAnsi="Times New Roman" w:eastAsia="宋体" w:cs="Times New Roman"/>
                <w:color w:val="000000" w:themeColor="text1"/>
                <w:szCs w:val="21"/>
                <w:highlight w:val="none"/>
                <w14:textFill>
                  <w14:solidFill>
                    <w14:schemeClr w14:val="tx1"/>
                  </w14:solidFill>
                </w14:textFill>
              </w:rPr>
              <w:t xml:space="preserve"> 2</w:t>
            </w:r>
            <w:r>
              <w:rPr>
                <w:rFonts w:ascii="Times New Roman" w:hAnsi="宋体" w:eastAsia="宋体" w:cs="Times New Roman"/>
                <w:color w:val="000000" w:themeColor="text1"/>
                <w:szCs w:val="21"/>
                <w:highlight w:val="none"/>
                <w14:textFill>
                  <w14:solidFill>
                    <w14:schemeClr w14:val="tx1"/>
                  </w14:solidFill>
                </w14:textFill>
              </w:rPr>
              <w:t>路以太网口，</w:t>
            </w:r>
            <w:r>
              <w:rPr>
                <w:rFonts w:ascii="Times New Roman" w:hAnsi="Times New Roman" w:eastAsia="宋体" w:cs="Times New Roman"/>
                <w:color w:val="000000" w:themeColor="text1"/>
                <w:szCs w:val="21"/>
                <w:highlight w:val="none"/>
                <w14:textFill>
                  <w14:solidFill>
                    <w14:schemeClr w14:val="tx1"/>
                  </w14:solidFill>
                </w14:textFill>
              </w:rPr>
              <w:t>8G</w:t>
            </w:r>
            <w:r>
              <w:rPr>
                <w:rFonts w:ascii="Times New Roman" w:hAnsi="宋体" w:eastAsia="宋体" w:cs="Times New Roman"/>
                <w:color w:val="000000" w:themeColor="text1"/>
                <w:szCs w:val="21"/>
                <w:highlight w:val="none"/>
                <w14:textFill>
                  <w14:solidFill>
                    <w14:schemeClr w14:val="tx1"/>
                  </w14:solidFill>
                </w14:textFill>
              </w:rPr>
              <w:t>存储，</w:t>
            </w:r>
            <w:r>
              <w:rPr>
                <w:rFonts w:ascii="Times New Roman" w:hAnsi="Times New Roman" w:eastAsia="宋体" w:cs="Times New Roman"/>
                <w:color w:val="000000" w:themeColor="text1"/>
                <w:szCs w:val="21"/>
                <w:highlight w:val="none"/>
                <w14:textFill>
                  <w14:solidFill>
                    <w14:schemeClr w14:val="tx1"/>
                  </w14:solidFill>
                </w14:textFill>
              </w:rPr>
              <w:t>512MB</w:t>
            </w:r>
            <w:r>
              <w:rPr>
                <w:rFonts w:ascii="Times New Roman" w:hAnsi="宋体" w:eastAsia="宋体" w:cs="Times New Roman"/>
                <w:color w:val="000000" w:themeColor="text1"/>
                <w:szCs w:val="21"/>
                <w:highlight w:val="none"/>
                <w14:textFill>
                  <w14:solidFill>
                    <w14:schemeClr w14:val="tx1"/>
                  </w14:solidFill>
                </w14:textFill>
              </w:rPr>
              <w:t>内存。</w:t>
            </w:r>
            <w:r>
              <w:rPr>
                <w:rFonts w:ascii="Times New Roman" w:hAnsi="Times New Roman" w:eastAsia="宋体" w:cs="Times New Roman"/>
                <w:color w:val="000000" w:themeColor="text1"/>
                <w:szCs w:val="21"/>
                <w:highlight w:val="none"/>
                <w14:textFill>
                  <w14:solidFill>
                    <w14:schemeClr w14:val="tx1"/>
                  </w14:solidFill>
                </w14:textFill>
              </w:rPr>
              <w:t>AC220V</w:t>
            </w:r>
            <w:r>
              <w:rPr>
                <w:rFonts w:ascii="Times New Roman" w:hAnsi="宋体" w:eastAsia="宋体" w:cs="Times New Roman"/>
                <w:color w:val="000000" w:themeColor="text1"/>
                <w:szCs w:val="21"/>
                <w:highlight w:val="none"/>
                <w14:textFill>
                  <w14:solidFill>
                    <w14:schemeClr w14:val="tx1"/>
                  </w14:solidFill>
                </w14:textFill>
              </w:rPr>
              <w:t>供电。</w:t>
            </w:r>
          </w:p>
        </w:tc>
        <w:tc>
          <w:tcPr>
            <w:tcW w:w="850" w:type="dxa"/>
            <w:tcBorders>
              <w:top w:val="nil"/>
              <w:left w:val="nil"/>
              <w:bottom w:val="single" w:color="auto" w:sz="4" w:space="0"/>
              <w:right w:val="single" w:color="auto" w:sz="4" w:space="0"/>
            </w:tcBorders>
            <w:vAlign w:val="center"/>
          </w:tcPr>
          <w:p w14:paraId="3512559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0993F54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3B5A868A">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4131C21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110111BA">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5BD8CC6C">
        <w:tblPrEx>
          <w:tblCellMar>
            <w:top w:w="0" w:type="dxa"/>
            <w:left w:w="108" w:type="dxa"/>
            <w:bottom w:w="0" w:type="dxa"/>
            <w:right w:w="108" w:type="dxa"/>
          </w:tblCellMar>
        </w:tblPrEx>
        <w:trPr>
          <w:cantSplit/>
          <w:trHeight w:val="780" w:hRule="atLeast"/>
        </w:trPr>
        <w:tc>
          <w:tcPr>
            <w:tcW w:w="704" w:type="dxa"/>
            <w:tcBorders>
              <w:top w:val="nil"/>
              <w:left w:val="single" w:color="auto" w:sz="4" w:space="0"/>
              <w:bottom w:val="single" w:color="auto" w:sz="4" w:space="0"/>
              <w:right w:val="single" w:color="auto" w:sz="4" w:space="0"/>
            </w:tcBorders>
            <w:vAlign w:val="center"/>
          </w:tcPr>
          <w:p w14:paraId="13804BC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(2)</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4EC768CB">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通讯网络柜</w:t>
            </w:r>
          </w:p>
        </w:tc>
        <w:tc>
          <w:tcPr>
            <w:tcW w:w="2410" w:type="dxa"/>
            <w:tcBorders>
              <w:top w:val="nil"/>
              <w:left w:val="nil"/>
              <w:bottom w:val="single" w:color="auto" w:sz="4" w:space="0"/>
              <w:right w:val="single" w:color="auto" w:sz="4" w:space="0"/>
            </w:tcBorders>
            <w:vAlign w:val="center"/>
          </w:tcPr>
          <w:p w14:paraId="697B492F">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原故障录波柜更换，含柜体及内部线路，光纤终端盒、跳线、尾纤、</w:t>
            </w:r>
            <w:r>
              <w:rPr>
                <w:rFonts w:ascii="Times New Roman" w:hAnsi="Times New Roman" w:eastAsia="宋体" w:cs="Times New Roman"/>
                <w:color w:val="000000" w:themeColor="text1"/>
                <w:szCs w:val="21"/>
                <w:highlight w:val="none"/>
                <w14:textFill>
                  <w14:solidFill>
                    <w14:schemeClr w14:val="tx1"/>
                  </w14:solidFill>
                </w14:textFill>
              </w:rPr>
              <w:t>PDU</w:t>
            </w:r>
            <w:r>
              <w:rPr>
                <w:rFonts w:ascii="Times New Roman" w:hAnsi="宋体" w:eastAsia="宋体" w:cs="Times New Roman"/>
                <w:color w:val="000000" w:themeColor="text1"/>
                <w:szCs w:val="21"/>
                <w:highlight w:val="none"/>
                <w14:textFill>
                  <w14:solidFill>
                    <w14:schemeClr w14:val="tx1"/>
                  </w14:solidFill>
                </w14:textFill>
              </w:rPr>
              <w:t>等，原有设备拆除、新机柜安装。</w:t>
            </w:r>
          </w:p>
        </w:tc>
        <w:tc>
          <w:tcPr>
            <w:tcW w:w="850" w:type="dxa"/>
            <w:tcBorders>
              <w:top w:val="nil"/>
              <w:left w:val="nil"/>
              <w:bottom w:val="single" w:color="auto" w:sz="4" w:space="0"/>
              <w:right w:val="single" w:color="auto" w:sz="4" w:space="0"/>
            </w:tcBorders>
            <w:vAlign w:val="center"/>
          </w:tcPr>
          <w:p w14:paraId="5C80FAC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11A7138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582FC48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5167B020">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3483116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399E49E2">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vAlign w:val="center"/>
          </w:tcPr>
          <w:p w14:paraId="34DF10CC">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4E7AC3D5">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同步时钟</w:t>
            </w:r>
          </w:p>
        </w:tc>
        <w:tc>
          <w:tcPr>
            <w:tcW w:w="2410" w:type="dxa"/>
            <w:tcBorders>
              <w:top w:val="nil"/>
              <w:left w:val="nil"/>
              <w:bottom w:val="single" w:color="auto" w:sz="4" w:space="0"/>
              <w:right w:val="single" w:color="auto" w:sz="4" w:space="0"/>
            </w:tcBorders>
            <w:vAlign w:val="center"/>
          </w:tcPr>
          <w:p w14:paraId="3AF6BCA5">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主时钟</w:t>
            </w:r>
            <w:r>
              <w:rPr>
                <w:rFonts w:ascii="Times New Roman" w:hAnsi="Times New Roman" w:eastAsia="宋体" w:cs="Times New Roman"/>
                <w:color w:val="000000" w:themeColor="text1"/>
                <w:szCs w:val="21"/>
                <w:highlight w:val="none"/>
                <w14:textFill>
                  <w14:solidFill>
                    <w14:schemeClr w14:val="tx1"/>
                  </w14:solidFill>
                </w14:textFill>
              </w:rPr>
              <w:t>,</w:t>
            </w:r>
            <w:r>
              <w:rPr>
                <w:rFonts w:ascii="Times New Roman" w:hAnsi="宋体" w:eastAsia="宋体" w:cs="Times New Roman"/>
                <w:color w:val="000000" w:themeColor="text1"/>
                <w:szCs w:val="21"/>
                <w:highlight w:val="none"/>
                <w14:textFill>
                  <w14:solidFill>
                    <w14:schemeClr w14:val="tx1"/>
                  </w14:solidFill>
                </w14:textFill>
              </w:rPr>
              <w:t>北斗</w:t>
            </w:r>
            <w:r>
              <w:rPr>
                <w:rFonts w:ascii="Times New Roman" w:hAnsi="Times New Roman" w:eastAsia="宋体" w:cs="Times New Roman"/>
                <w:color w:val="000000" w:themeColor="text1"/>
                <w:szCs w:val="21"/>
                <w:highlight w:val="none"/>
                <w14:textFill>
                  <w14:solidFill>
                    <w14:schemeClr w14:val="tx1"/>
                  </w14:solidFill>
                </w14:textFill>
              </w:rPr>
              <w:t>/GPS</w:t>
            </w:r>
            <w:r>
              <w:rPr>
                <w:rFonts w:ascii="Times New Roman" w:hAnsi="宋体" w:eastAsia="宋体" w:cs="Times New Roman"/>
                <w:color w:val="000000" w:themeColor="text1"/>
                <w:szCs w:val="21"/>
                <w:highlight w:val="none"/>
                <w14:textFill>
                  <w14:solidFill>
                    <w14:schemeClr w14:val="tx1"/>
                  </w14:solidFill>
                </w14:textFill>
              </w:rPr>
              <w:t>双星通信，含天线、天线支架、天线防雷器等。</w:t>
            </w:r>
          </w:p>
        </w:tc>
        <w:tc>
          <w:tcPr>
            <w:tcW w:w="850" w:type="dxa"/>
            <w:tcBorders>
              <w:top w:val="nil"/>
              <w:left w:val="nil"/>
              <w:bottom w:val="single" w:color="auto" w:sz="4" w:space="0"/>
              <w:right w:val="single" w:color="auto" w:sz="4" w:space="0"/>
            </w:tcBorders>
            <w:vAlign w:val="center"/>
          </w:tcPr>
          <w:p w14:paraId="396F1A5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48F87EC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431999C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697D78B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center"/>
          </w:tcPr>
          <w:p w14:paraId="75B6DE3F">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79B97874">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vAlign w:val="center"/>
          </w:tcPr>
          <w:p w14:paraId="51EB4111">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二</w:t>
            </w:r>
          </w:p>
        </w:tc>
        <w:tc>
          <w:tcPr>
            <w:tcW w:w="1276" w:type="dxa"/>
            <w:tcBorders>
              <w:top w:val="single" w:color="auto" w:sz="4" w:space="0"/>
              <w:left w:val="nil"/>
              <w:bottom w:val="single" w:color="auto" w:sz="4" w:space="0"/>
              <w:right w:val="single" w:color="auto" w:sz="4" w:space="0"/>
            </w:tcBorders>
            <w:vAlign w:val="center"/>
          </w:tcPr>
          <w:p w14:paraId="4D0F6809">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继电保护及安全自动装置</w:t>
            </w:r>
          </w:p>
        </w:tc>
        <w:tc>
          <w:tcPr>
            <w:tcW w:w="2410" w:type="dxa"/>
            <w:tcBorders>
              <w:top w:val="single" w:color="auto" w:sz="4" w:space="0"/>
              <w:left w:val="nil"/>
              <w:bottom w:val="single" w:color="auto" w:sz="4" w:space="0"/>
              <w:right w:val="single" w:color="auto" w:sz="4" w:space="0"/>
            </w:tcBorders>
            <w:vAlign w:val="center"/>
          </w:tcPr>
          <w:p w14:paraId="3B6A3ADA">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50" w:type="dxa"/>
            <w:tcBorders>
              <w:top w:val="single" w:color="auto" w:sz="4" w:space="0"/>
              <w:left w:val="nil"/>
              <w:bottom w:val="single" w:color="auto" w:sz="4" w:space="0"/>
              <w:right w:val="single" w:color="auto" w:sz="4" w:space="0"/>
            </w:tcBorders>
            <w:vAlign w:val="center"/>
          </w:tcPr>
          <w:p w14:paraId="439F9F6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992" w:type="dxa"/>
            <w:tcBorders>
              <w:top w:val="single" w:color="auto" w:sz="4" w:space="0"/>
              <w:left w:val="nil"/>
              <w:bottom w:val="single" w:color="auto" w:sz="4" w:space="0"/>
              <w:right w:val="single" w:color="auto" w:sz="4" w:space="0"/>
            </w:tcBorders>
            <w:vAlign w:val="center"/>
          </w:tcPr>
          <w:p w14:paraId="03B1AC8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vAlign w:val="center"/>
          </w:tcPr>
          <w:p w14:paraId="449EDB7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3CF9D00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2667AD8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65A005E6">
        <w:tblPrEx>
          <w:tblCellMar>
            <w:top w:w="0" w:type="dxa"/>
            <w:left w:w="108" w:type="dxa"/>
            <w:bottom w:w="0" w:type="dxa"/>
            <w:right w:w="108" w:type="dxa"/>
          </w:tblCellMar>
        </w:tblPrEx>
        <w:trPr>
          <w:cantSplit/>
          <w:trHeight w:val="718" w:hRule="atLeast"/>
        </w:trPr>
        <w:tc>
          <w:tcPr>
            <w:tcW w:w="704" w:type="dxa"/>
            <w:tcBorders>
              <w:top w:val="single" w:color="auto" w:sz="4" w:space="0"/>
              <w:left w:val="single" w:color="auto" w:sz="4" w:space="0"/>
              <w:bottom w:val="single" w:color="auto" w:sz="4" w:space="0"/>
              <w:right w:val="single" w:color="auto" w:sz="4" w:space="0"/>
            </w:tcBorders>
            <w:vAlign w:val="center"/>
          </w:tcPr>
          <w:p w14:paraId="021E9AC9">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vAlign w:val="center"/>
          </w:tcPr>
          <w:p w14:paraId="62CEA683">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 xml:space="preserve">110kV </w:t>
            </w:r>
            <w:r>
              <w:rPr>
                <w:rFonts w:ascii="Times New Roman" w:hAnsi="宋体" w:eastAsia="宋体" w:cs="Times New Roman"/>
                <w:b/>
                <w:bCs/>
                <w:color w:val="000000" w:themeColor="text1"/>
                <w:szCs w:val="21"/>
                <w:highlight w:val="none"/>
                <w14:textFill>
                  <w14:solidFill>
                    <w14:schemeClr w14:val="tx1"/>
                  </w14:solidFill>
                </w14:textFill>
              </w:rPr>
              <w:t>线路电流差动保护屏</w:t>
            </w:r>
          </w:p>
        </w:tc>
        <w:tc>
          <w:tcPr>
            <w:tcW w:w="2410" w:type="dxa"/>
            <w:tcBorders>
              <w:top w:val="single" w:color="auto" w:sz="4" w:space="0"/>
              <w:left w:val="nil"/>
              <w:bottom w:val="single" w:color="auto" w:sz="4" w:space="0"/>
              <w:right w:val="single" w:color="auto" w:sz="4" w:space="0"/>
            </w:tcBorders>
            <w:vAlign w:val="center"/>
          </w:tcPr>
          <w:p w14:paraId="74DF4598">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含测控、保护及操作箱功能，含</w:t>
            </w:r>
            <w:bookmarkStart w:id="59" w:name="OLE_LINK16"/>
            <w:r>
              <w:rPr>
                <w:rFonts w:ascii="Times New Roman" w:hAnsi="宋体" w:eastAsia="宋体" w:cs="Times New Roman"/>
                <w:color w:val="000000" w:themeColor="text1"/>
                <w:szCs w:val="21"/>
                <w:highlight w:val="none"/>
                <w14:textFill>
                  <w14:solidFill>
                    <w14:schemeClr w14:val="tx1"/>
                  </w14:solidFill>
                </w14:textFill>
              </w:rPr>
              <w:t>屏体</w:t>
            </w:r>
            <w:r>
              <w:rPr>
                <w:rFonts w:ascii="Times New Roman" w:hAnsi="Times New Roman" w:eastAsia="宋体" w:cs="Times New Roman"/>
                <w:color w:val="000000" w:themeColor="text1"/>
                <w:szCs w:val="21"/>
                <w:highlight w:val="none"/>
                <w14:textFill>
                  <w14:solidFill>
                    <w14:schemeClr w14:val="tx1"/>
                  </w14:solidFill>
                </w14:textFill>
              </w:rPr>
              <w:t>2260*800*600</w:t>
            </w:r>
            <w:bookmarkEnd w:id="59"/>
            <w:r>
              <w:rPr>
                <w:rFonts w:ascii="Times New Roman" w:hAnsi="Times New Roman" w:eastAsia="宋体" w:cs="Times New Roman"/>
                <w:color w:val="000000" w:themeColor="text1"/>
                <w:szCs w:val="21"/>
                <w:highlight w:val="none"/>
                <w14:textFill>
                  <w14:solidFill>
                    <w14:schemeClr w14:val="tx1"/>
                  </w14:solidFill>
                </w14:textFill>
              </w:rPr>
              <w:t>mm</w:t>
            </w:r>
            <w:r>
              <w:rPr>
                <w:rFonts w:ascii="Times New Roman" w:hAnsi="宋体" w:eastAsia="宋体" w:cs="Times New Roman"/>
                <w:color w:val="000000" w:themeColor="text1"/>
                <w:szCs w:val="21"/>
                <w:highlight w:val="none"/>
                <w14:textFill>
                  <w14:solidFill>
                    <w14:schemeClr w14:val="tx1"/>
                  </w14:solidFill>
                </w14:textFill>
              </w:rPr>
              <w:t>。含过流保护、零序过流保护、过流加速保护、零序加速保护、重合闸等保护功能，至少含</w:t>
            </w:r>
            <w:r>
              <w:rPr>
                <w:rFonts w:ascii="Times New Roman" w:hAnsi="Times New Roman" w:eastAsia="宋体" w:cs="Times New Roman"/>
                <w:color w:val="000000" w:themeColor="text1"/>
                <w:szCs w:val="21"/>
                <w:highlight w:val="none"/>
                <w14:textFill>
                  <w14:solidFill>
                    <w14:schemeClr w14:val="tx1"/>
                  </w14:solidFill>
                </w14:textFill>
              </w:rPr>
              <w:t>7</w:t>
            </w:r>
            <w:r>
              <w:rPr>
                <w:rFonts w:ascii="Times New Roman" w:hAnsi="宋体" w:eastAsia="宋体" w:cs="Times New Roman"/>
                <w:color w:val="000000" w:themeColor="text1"/>
                <w:szCs w:val="21"/>
                <w:highlight w:val="none"/>
                <w14:textFill>
                  <w14:solidFill>
                    <w14:schemeClr w14:val="tx1"/>
                  </w14:solidFill>
                </w14:textFill>
              </w:rPr>
              <w:t>组电流</w:t>
            </w:r>
            <w:r>
              <w:rPr>
                <w:rFonts w:ascii="Times New Roman" w:hAnsi="Times New Roman" w:eastAsia="宋体" w:cs="Times New Roman"/>
                <w:color w:val="000000" w:themeColor="text1"/>
                <w:szCs w:val="21"/>
                <w:highlight w:val="none"/>
                <w14:textFill>
                  <w14:solidFill>
                    <w14:schemeClr w14:val="tx1"/>
                  </w14:solidFill>
                </w14:textFill>
              </w:rPr>
              <w:t>4</w:t>
            </w:r>
            <w:r>
              <w:rPr>
                <w:rFonts w:ascii="Times New Roman" w:hAnsi="宋体" w:eastAsia="宋体" w:cs="Times New Roman"/>
                <w:color w:val="000000" w:themeColor="text1"/>
                <w:szCs w:val="21"/>
                <w:highlight w:val="none"/>
                <w14:textFill>
                  <w14:solidFill>
                    <w14:schemeClr w14:val="tx1"/>
                  </w14:solidFill>
                </w14:textFill>
              </w:rPr>
              <w:t>组电压模拟量输入，</w:t>
            </w:r>
            <w:r>
              <w:rPr>
                <w:rFonts w:ascii="Times New Roman" w:hAnsi="Times New Roman" w:eastAsia="宋体" w:cs="Times New Roman"/>
                <w:color w:val="000000" w:themeColor="text1"/>
                <w:szCs w:val="21"/>
                <w:highlight w:val="none"/>
                <w14:textFill>
                  <w14:solidFill>
                    <w14:schemeClr w14:val="tx1"/>
                  </w14:solidFill>
                </w14:textFill>
              </w:rPr>
              <w:t>6</w:t>
            </w:r>
            <w:r>
              <w:rPr>
                <w:rFonts w:ascii="Times New Roman" w:hAnsi="宋体" w:eastAsia="宋体" w:cs="Times New Roman"/>
                <w:color w:val="000000" w:themeColor="text1"/>
                <w:szCs w:val="21"/>
                <w:highlight w:val="none"/>
                <w14:textFill>
                  <w14:solidFill>
                    <w14:schemeClr w14:val="tx1"/>
                  </w14:solidFill>
                </w14:textFill>
              </w:rPr>
              <w:t>组跳闸出口，</w:t>
            </w:r>
            <w:r>
              <w:rPr>
                <w:rFonts w:ascii="Times New Roman" w:hAnsi="Times New Roman" w:eastAsia="宋体" w:cs="Times New Roman"/>
                <w:color w:val="000000" w:themeColor="text1"/>
                <w:szCs w:val="21"/>
                <w:highlight w:val="none"/>
                <w14:textFill>
                  <w14:solidFill>
                    <w14:schemeClr w14:val="tx1"/>
                  </w14:solidFill>
                </w14:textFill>
              </w:rPr>
              <w:t>30</w:t>
            </w:r>
            <w:r>
              <w:rPr>
                <w:rFonts w:ascii="Times New Roman" w:hAnsi="宋体" w:eastAsia="宋体" w:cs="Times New Roman"/>
                <w:color w:val="000000" w:themeColor="text1"/>
                <w:szCs w:val="21"/>
                <w:highlight w:val="none"/>
                <w14:textFill>
                  <w14:solidFill>
                    <w14:schemeClr w14:val="tx1"/>
                  </w14:solidFill>
                </w14:textFill>
              </w:rPr>
              <w:t>个普通遥信开入，</w:t>
            </w:r>
            <w:r>
              <w:rPr>
                <w:rFonts w:ascii="Times New Roman" w:hAnsi="Times New Roman" w:eastAsia="宋体" w:cs="Times New Roman"/>
                <w:color w:val="000000" w:themeColor="text1"/>
                <w:szCs w:val="21"/>
                <w:highlight w:val="none"/>
                <w14:textFill>
                  <w14:solidFill>
                    <w14:schemeClr w14:val="tx1"/>
                  </w14:solidFill>
                </w14:textFill>
              </w:rPr>
              <w:t>6</w:t>
            </w:r>
            <w:r>
              <w:rPr>
                <w:rFonts w:ascii="Times New Roman" w:hAnsi="宋体" w:eastAsia="宋体" w:cs="Times New Roman"/>
                <w:color w:val="000000" w:themeColor="text1"/>
                <w:szCs w:val="21"/>
                <w:highlight w:val="none"/>
                <w14:textFill>
                  <w14:solidFill>
                    <w14:schemeClr w14:val="tx1"/>
                  </w14:solidFill>
                </w14:textFill>
              </w:rPr>
              <w:t>组遥控分合闸出口，操作箱带</w:t>
            </w:r>
            <w:r>
              <w:rPr>
                <w:rFonts w:ascii="Times New Roman" w:hAnsi="Times New Roman" w:eastAsia="宋体" w:cs="Times New Roman"/>
                <w:color w:val="000000" w:themeColor="text1"/>
                <w:szCs w:val="21"/>
                <w:highlight w:val="none"/>
                <w14:textFill>
                  <w14:solidFill>
                    <w14:schemeClr w14:val="tx1"/>
                  </w14:solidFill>
                </w14:textFill>
              </w:rPr>
              <w:t>2</w:t>
            </w:r>
            <w:r>
              <w:rPr>
                <w:rFonts w:ascii="Times New Roman" w:hAnsi="宋体" w:eastAsia="宋体" w:cs="Times New Roman"/>
                <w:color w:val="000000" w:themeColor="text1"/>
                <w:szCs w:val="21"/>
                <w:highlight w:val="none"/>
                <w14:textFill>
                  <w14:solidFill>
                    <w14:schemeClr w14:val="tx1"/>
                  </w14:solidFill>
                </w14:textFill>
              </w:rPr>
              <w:t>组跳闸回路，</w:t>
            </w:r>
            <w:r>
              <w:rPr>
                <w:rFonts w:ascii="Times New Roman" w:hAnsi="Times New Roman" w:eastAsia="宋体" w:cs="Times New Roman"/>
                <w:color w:val="000000" w:themeColor="text1"/>
                <w:szCs w:val="21"/>
                <w:highlight w:val="none"/>
                <w14:textFill>
                  <w14:solidFill>
                    <w14:schemeClr w14:val="tx1"/>
                  </w14:solidFill>
                </w14:textFill>
              </w:rPr>
              <w:t>1</w:t>
            </w:r>
            <w:r>
              <w:rPr>
                <w:rFonts w:ascii="Times New Roman" w:hAnsi="宋体" w:eastAsia="宋体" w:cs="Times New Roman"/>
                <w:color w:val="000000" w:themeColor="text1"/>
                <w:szCs w:val="21"/>
                <w:highlight w:val="none"/>
                <w14:textFill>
                  <w14:solidFill>
                    <w14:schemeClr w14:val="tx1"/>
                  </w14:solidFill>
                </w14:textFill>
              </w:rPr>
              <w:t>组合闸回路。装置具备对上</w:t>
            </w:r>
            <w:r>
              <w:rPr>
                <w:rFonts w:ascii="Times New Roman" w:hAnsi="Times New Roman" w:eastAsia="宋体" w:cs="Times New Roman"/>
                <w:color w:val="000000" w:themeColor="text1"/>
                <w:szCs w:val="21"/>
                <w:highlight w:val="none"/>
                <w14:textFill>
                  <w14:solidFill>
                    <w14:schemeClr w14:val="tx1"/>
                  </w14:solidFill>
                </w14:textFill>
              </w:rPr>
              <w:t>IEC61850</w:t>
            </w:r>
            <w:r>
              <w:rPr>
                <w:rFonts w:ascii="Times New Roman" w:hAnsi="宋体" w:eastAsia="宋体" w:cs="Times New Roman"/>
                <w:color w:val="000000" w:themeColor="text1"/>
                <w:szCs w:val="21"/>
                <w:highlight w:val="none"/>
                <w14:textFill>
                  <w14:solidFill>
                    <w14:schemeClr w14:val="tx1"/>
                  </w14:solidFill>
                </w14:textFill>
              </w:rPr>
              <w:t>和</w:t>
            </w:r>
            <w:r>
              <w:rPr>
                <w:rFonts w:ascii="Times New Roman" w:hAnsi="Times New Roman" w:eastAsia="宋体" w:cs="Times New Roman"/>
                <w:color w:val="000000" w:themeColor="text1"/>
                <w:szCs w:val="21"/>
                <w:highlight w:val="none"/>
                <w14:textFill>
                  <w14:solidFill>
                    <w14:schemeClr w14:val="tx1"/>
                  </w14:solidFill>
                </w14:textFill>
              </w:rPr>
              <w:t>modbus rtu</w:t>
            </w:r>
            <w:r>
              <w:rPr>
                <w:rFonts w:ascii="Times New Roman" w:hAnsi="宋体" w:eastAsia="宋体" w:cs="Times New Roman"/>
                <w:color w:val="000000" w:themeColor="text1"/>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4341497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面</w:t>
            </w:r>
          </w:p>
        </w:tc>
        <w:tc>
          <w:tcPr>
            <w:tcW w:w="992" w:type="dxa"/>
            <w:tcBorders>
              <w:top w:val="single" w:color="auto" w:sz="4" w:space="0"/>
              <w:left w:val="nil"/>
              <w:bottom w:val="single" w:color="auto" w:sz="4" w:space="0"/>
              <w:right w:val="single" w:color="auto" w:sz="4" w:space="0"/>
            </w:tcBorders>
            <w:vAlign w:val="center"/>
          </w:tcPr>
          <w:p w14:paraId="660EF10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2EEBC86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2ECC251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7D21C70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5727A1E1">
        <w:tblPrEx>
          <w:tblCellMar>
            <w:top w:w="0" w:type="dxa"/>
            <w:left w:w="108" w:type="dxa"/>
            <w:bottom w:w="0" w:type="dxa"/>
            <w:right w:w="108" w:type="dxa"/>
          </w:tblCellMar>
        </w:tblPrEx>
        <w:trPr>
          <w:cantSplit/>
          <w:trHeight w:val="488" w:hRule="atLeast"/>
        </w:trPr>
        <w:tc>
          <w:tcPr>
            <w:tcW w:w="704" w:type="dxa"/>
            <w:tcBorders>
              <w:top w:val="nil"/>
              <w:left w:val="single" w:color="auto" w:sz="4" w:space="0"/>
              <w:bottom w:val="single" w:color="auto" w:sz="4" w:space="0"/>
              <w:right w:val="single" w:color="auto" w:sz="4" w:space="0"/>
            </w:tcBorders>
            <w:vAlign w:val="center"/>
          </w:tcPr>
          <w:p w14:paraId="62A94D36">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09E714D9">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主变保护屏</w:t>
            </w:r>
          </w:p>
        </w:tc>
        <w:tc>
          <w:tcPr>
            <w:tcW w:w="2410" w:type="dxa"/>
            <w:tcBorders>
              <w:top w:val="nil"/>
              <w:left w:val="nil"/>
              <w:bottom w:val="single" w:color="auto" w:sz="4" w:space="0"/>
              <w:right w:val="single" w:color="auto" w:sz="4" w:space="0"/>
            </w:tcBorders>
            <w:vAlign w:val="center"/>
          </w:tcPr>
          <w:p w14:paraId="6589B80D">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00A51D3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0B22842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7AF79B4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5EAC389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17258B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54A0238D">
        <w:tblPrEx>
          <w:tblCellMar>
            <w:top w:w="0" w:type="dxa"/>
            <w:left w:w="108" w:type="dxa"/>
            <w:bottom w:w="0" w:type="dxa"/>
            <w:right w:w="108" w:type="dxa"/>
          </w:tblCellMar>
        </w:tblPrEx>
        <w:trPr>
          <w:cantSplit/>
          <w:trHeight w:val="2830" w:hRule="atLeast"/>
        </w:trPr>
        <w:tc>
          <w:tcPr>
            <w:tcW w:w="704" w:type="dxa"/>
            <w:tcBorders>
              <w:top w:val="single" w:color="auto" w:sz="4" w:space="0"/>
              <w:left w:val="single" w:color="auto" w:sz="4" w:space="0"/>
              <w:bottom w:val="single" w:color="auto" w:sz="4" w:space="0"/>
              <w:right w:val="single" w:color="auto" w:sz="4" w:space="0"/>
            </w:tcBorders>
            <w:vAlign w:val="center"/>
          </w:tcPr>
          <w:p w14:paraId="74EA135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171ACA2C">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差动保护</w:t>
            </w:r>
          </w:p>
        </w:tc>
        <w:tc>
          <w:tcPr>
            <w:tcW w:w="2410" w:type="dxa"/>
            <w:tcBorders>
              <w:top w:val="single" w:color="auto" w:sz="4" w:space="0"/>
              <w:left w:val="nil"/>
              <w:bottom w:val="single" w:color="auto" w:sz="4" w:space="0"/>
              <w:right w:val="single" w:color="auto" w:sz="4" w:space="0"/>
            </w:tcBorders>
            <w:vAlign w:val="center"/>
          </w:tcPr>
          <w:p w14:paraId="48912EE0">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在变压器绕组、套管及引出线内部发生任何形式的短路故障时，无延时切除故障；在正常运行、外部故障、</w:t>
            </w:r>
            <w:r>
              <w:rPr>
                <w:rFonts w:ascii="Times New Roman" w:hAnsi="Times New Roman" w:eastAsia="宋体" w:cs="Times New Roman"/>
                <w:color w:val="000000" w:themeColor="text1"/>
                <w:szCs w:val="21"/>
                <w:highlight w:val="none"/>
                <w14:textFill>
                  <w14:solidFill>
                    <w14:schemeClr w14:val="tx1"/>
                  </w14:solidFill>
                </w14:textFill>
              </w:rPr>
              <w:t xml:space="preserve">CT </w:t>
            </w:r>
            <w:r>
              <w:rPr>
                <w:rFonts w:ascii="Times New Roman" w:hAnsi="宋体" w:eastAsia="宋体" w:cs="Times New Roman"/>
                <w:color w:val="000000" w:themeColor="text1"/>
                <w:szCs w:val="21"/>
                <w:highlight w:val="none"/>
                <w14:textFill>
                  <w14:solidFill>
                    <w14:schemeClr w14:val="tx1"/>
                  </w14:solidFill>
                </w14:textFill>
              </w:rPr>
              <w:t>断线、励磁涌流及过励磁等情况下可靠不误动。含比率差动保护、</w:t>
            </w:r>
            <w:r>
              <w:rPr>
                <w:rFonts w:ascii="Times New Roman" w:hAnsi="Times New Roman" w:eastAsia="宋体" w:cs="Times New Roman"/>
                <w:color w:val="000000" w:themeColor="text1"/>
                <w:szCs w:val="21"/>
                <w:highlight w:val="none"/>
                <w14:textFill>
                  <w14:solidFill>
                    <w14:schemeClr w14:val="tx1"/>
                  </w14:solidFill>
                </w14:textFill>
              </w:rPr>
              <w:t xml:space="preserve"> </w:t>
            </w:r>
            <w:r>
              <w:rPr>
                <w:rFonts w:ascii="Times New Roman" w:hAnsi="宋体" w:eastAsia="宋体" w:cs="Times New Roman"/>
                <w:color w:val="000000" w:themeColor="text1"/>
                <w:szCs w:val="21"/>
                <w:highlight w:val="none"/>
                <w14:textFill>
                  <w14:solidFill>
                    <w14:schemeClr w14:val="tx1"/>
                  </w14:solidFill>
                </w14:textFill>
              </w:rPr>
              <w:t>差动速断保护、中、低压侧后备过流保护、异常报警功能。装置具备对上</w:t>
            </w:r>
            <w:r>
              <w:rPr>
                <w:rFonts w:ascii="Times New Roman" w:hAnsi="Times New Roman" w:eastAsia="宋体" w:cs="Times New Roman"/>
                <w:color w:val="000000" w:themeColor="text1"/>
                <w:szCs w:val="21"/>
                <w:highlight w:val="none"/>
                <w14:textFill>
                  <w14:solidFill>
                    <w14:schemeClr w14:val="tx1"/>
                  </w14:solidFill>
                </w14:textFill>
              </w:rPr>
              <w:t>IEC61850</w:t>
            </w:r>
            <w:r>
              <w:rPr>
                <w:rFonts w:ascii="Times New Roman" w:hAnsi="宋体" w:eastAsia="宋体" w:cs="Times New Roman"/>
                <w:color w:val="000000" w:themeColor="text1"/>
                <w:szCs w:val="21"/>
                <w:highlight w:val="none"/>
                <w14:textFill>
                  <w14:solidFill>
                    <w14:schemeClr w14:val="tx1"/>
                  </w14:solidFill>
                </w14:textFill>
              </w:rPr>
              <w:t>和</w:t>
            </w:r>
            <w:r>
              <w:rPr>
                <w:rFonts w:ascii="Times New Roman" w:hAnsi="Times New Roman" w:eastAsia="宋体" w:cs="Times New Roman"/>
                <w:color w:val="000000" w:themeColor="text1"/>
                <w:szCs w:val="21"/>
                <w:highlight w:val="none"/>
                <w14:textFill>
                  <w14:solidFill>
                    <w14:schemeClr w14:val="tx1"/>
                  </w14:solidFill>
                </w14:textFill>
              </w:rPr>
              <w:t>modbus rtu</w:t>
            </w:r>
            <w:r>
              <w:rPr>
                <w:rFonts w:ascii="Times New Roman" w:hAnsi="宋体" w:eastAsia="宋体" w:cs="Times New Roman"/>
                <w:color w:val="000000" w:themeColor="text1"/>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12F72DA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44B5CED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4953DDA2">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6BB3F5B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7B89D3D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19AFA567">
        <w:tblPrEx>
          <w:tblCellMar>
            <w:top w:w="0" w:type="dxa"/>
            <w:left w:w="108" w:type="dxa"/>
            <w:bottom w:w="0" w:type="dxa"/>
            <w:right w:w="108" w:type="dxa"/>
          </w:tblCellMar>
        </w:tblPrEx>
        <w:trPr>
          <w:cantSplit/>
          <w:trHeight w:val="3256" w:hRule="atLeast"/>
        </w:trPr>
        <w:tc>
          <w:tcPr>
            <w:tcW w:w="704" w:type="dxa"/>
            <w:tcBorders>
              <w:top w:val="nil"/>
              <w:left w:val="single" w:color="auto" w:sz="4" w:space="0"/>
              <w:bottom w:val="single" w:color="auto" w:sz="4" w:space="0"/>
              <w:right w:val="single" w:color="auto" w:sz="4" w:space="0"/>
            </w:tcBorders>
            <w:vAlign w:val="center"/>
          </w:tcPr>
          <w:p w14:paraId="0B74CDA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r>
              <w:rPr>
                <w:rFonts w:ascii="Times New Roman" w:hAnsi="Times New Roman" w:eastAsia="宋体" w:cs="Times New Roman"/>
                <w:color w:val="000000" w:themeColor="text1"/>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160D0AC1">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高压侧后备保护</w:t>
            </w:r>
          </w:p>
        </w:tc>
        <w:tc>
          <w:tcPr>
            <w:tcW w:w="2410" w:type="dxa"/>
            <w:tcBorders>
              <w:top w:val="nil"/>
              <w:left w:val="nil"/>
              <w:bottom w:val="single" w:color="auto" w:sz="4" w:space="0"/>
              <w:right w:val="single" w:color="auto" w:sz="4" w:space="0"/>
            </w:tcBorders>
            <w:vAlign w:val="center"/>
          </w:tcPr>
          <w:p w14:paraId="37F364F5">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当主保护或断路器拒动，仍能可靠切除变压器区内及相邻故障，并确保变压器本身不被过电流、过负荷或接地故障损坏。含过流保护、接地零序保护、不接地保护等功能。至少含</w:t>
            </w:r>
            <w:r>
              <w:rPr>
                <w:rFonts w:ascii="Times New Roman" w:hAnsi="Times New Roman" w:eastAsia="宋体" w:cs="Times New Roman"/>
                <w:color w:val="000000" w:themeColor="text1"/>
                <w:szCs w:val="21"/>
                <w:highlight w:val="none"/>
                <w14:textFill>
                  <w14:solidFill>
                    <w14:schemeClr w14:val="tx1"/>
                  </w14:solidFill>
                </w14:textFill>
              </w:rPr>
              <w:t>8</w:t>
            </w:r>
            <w:r>
              <w:rPr>
                <w:rFonts w:ascii="Times New Roman" w:hAnsi="宋体" w:eastAsia="宋体" w:cs="Times New Roman"/>
                <w:color w:val="000000" w:themeColor="text1"/>
                <w:szCs w:val="21"/>
                <w:highlight w:val="none"/>
                <w14:textFill>
                  <w14:solidFill>
                    <w14:schemeClr w14:val="tx1"/>
                  </w14:solidFill>
                </w14:textFill>
              </w:rPr>
              <w:t>组电流</w:t>
            </w:r>
            <w:r>
              <w:rPr>
                <w:rFonts w:ascii="Times New Roman" w:hAnsi="Times New Roman" w:eastAsia="宋体" w:cs="Times New Roman"/>
                <w:color w:val="000000" w:themeColor="text1"/>
                <w:szCs w:val="21"/>
                <w:highlight w:val="none"/>
                <w14:textFill>
                  <w14:solidFill>
                    <w14:schemeClr w14:val="tx1"/>
                  </w14:solidFill>
                </w14:textFill>
              </w:rPr>
              <w:t>4</w:t>
            </w:r>
            <w:r>
              <w:rPr>
                <w:rFonts w:ascii="Times New Roman" w:hAnsi="宋体" w:eastAsia="宋体" w:cs="Times New Roman"/>
                <w:color w:val="000000" w:themeColor="text1"/>
                <w:szCs w:val="21"/>
                <w:highlight w:val="none"/>
                <w14:textFill>
                  <w14:solidFill>
                    <w14:schemeClr w14:val="tx1"/>
                  </w14:solidFill>
                </w14:textFill>
              </w:rPr>
              <w:t>组电压模拟量输入，</w:t>
            </w:r>
            <w:r>
              <w:rPr>
                <w:rFonts w:ascii="Times New Roman" w:hAnsi="Times New Roman" w:eastAsia="宋体" w:cs="Times New Roman"/>
                <w:color w:val="000000" w:themeColor="text1"/>
                <w:szCs w:val="21"/>
                <w:highlight w:val="none"/>
                <w14:textFill>
                  <w14:solidFill>
                    <w14:schemeClr w14:val="tx1"/>
                  </w14:solidFill>
                </w14:textFill>
              </w:rPr>
              <w:t>15</w:t>
            </w:r>
            <w:r>
              <w:rPr>
                <w:rFonts w:ascii="Times New Roman" w:hAnsi="宋体" w:eastAsia="宋体" w:cs="Times New Roman"/>
                <w:color w:val="000000" w:themeColor="text1"/>
                <w:szCs w:val="21"/>
                <w:highlight w:val="none"/>
                <w14:textFill>
                  <w14:solidFill>
                    <w14:schemeClr w14:val="tx1"/>
                  </w14:solidFill>
                </w14:textFill>
              </w:rPr>
              <w:t>个普通遥信开入，</w:t>
            </w:r>
            <w:r>
              <w:rPr>
                <w:rFonts w:ascii="Times New Roman" w:hAnsi="Times New Roman" w:eastAsia="宋体" w:cs="Times New Roman"/>
                <w:color w:val="000000" w:themeColor="text1"/>
                <w:szCs w:val="21"/>
                <w:highlight w:val="none"/>
                <w14:textFill>
                  <w14:solidFill>
                    <w14:schemeClr w14:val="tx1"/>
                  </w14:solidFill>
                </w14:textFill>
              </w:rPr>
              <w:t>4</w:t>
            </w:r>
            <w:r>
              <w:rPr>
                <w:rFonts w:ascii="Times New Roman" w:hAnsi="宋体" w:eastAsia="宋体" w:cs="Times New Roman"/>
                <w:color w:val="000000" w:themeColor="text1"/>
                <w:szCs w:val="21"/>
                <w:highlight w:val="none"/>
                <w14:textFill>
                  <w14:solidFill>
                    <w14:schemeClr w14:val="tx1"/>
                  </w14:solidFill>
                </w14:textFill>
              </w:rPr>
              <w:t>组遥控分合闸出口，</w:t>
            </w:r>
            <w:r>
              <w:rPr>
                <w:rFonts w:ascii="Times New Roman" w:hAnsi="Times New Roman" w:eastAsia="宋体" w:cs="Times New Roman"/>
                <w:color w:val="000000" w:themeColor="text1"/>
                <w:szCs w:val="21"/>
                <w:highlight w:val="none"/>
                <w14:textFill>
                  <w14:solidFill>
                    <w14:schemeClr w14:val="tx1"/>
                  </w14:solidFill>
                </w14:textFill>
              </w:rPr>
              <w:t>6</w:t>
            </w:r>
            <w:r>
              <w:rPr>
                <w:rFonts w:ascii="Times New Roman" w:hAnsi="宋体" w:eastAsia="宋体" w:cs="Times New Roman"/>
                <w:color w:val="000000" w:themeColor="text1"/>
                <w:szCs w:val="21"/>
                <w:highlight w:val="none"/>
                <w14:textFill>
                  <w14:solidFill>
                    <w14:schemeClr w14:val="tx1"/>
                  </w14:solidFill>
                </w14:textFill>
              </w:rPr>
              <w:t>组跳闸出口。装置具备对上</w:t>
            </w:r>
            <w:r>
              <w:rPr>
                <w:rFonts w:ascii="Times New Roman" w:hAnsi="Times New Roman" w:eastAsia="宋体" w:cs="Times New Roman"/>
                <w:color w:val="000000" w:themeColor="text1"/>
                <w:szCs w:val="21"/>
                <w:highlight w:val="none"/>
                <w14:textFill>
                  <w14:solidFill>
                    <w14:schemeClr w14:val="tx1"/>
                  </w14:solidFill>
                </w14:textFill>
              </w:rPr>
              <w:t>IEC61850</w:t>
            </w:r>
            <w:r>
              <w:rPr>
                <w:rFonts w:ascii="Times New Roman" w:hAnsi="宋体" w:eastAsia="宋体" w:cs="Times New Roman"/>
                <w:color w:val="000000" w:themeColor="text1"/>
                <w:szCs w:val="21"/>
                <w:highlight w:val="none"/>
                <w14:textFill>
                  <w14:solidFill>
                    <w14:schemeClr w14:val="tx1"/>
                  </w14:solidFill>
                </w14:textFill>
              </w:rPr>
              <w:t>和</w:t>
            </w:r>
            <w:r>
              <w:rPr>
                <w:rFonts w:ascii="Times New Roman" w:hAnsi="Times New Roman" w:eastAsia="宋体" w:cs="Times New Roman"/>
                <w:color w:val="000000" w:themeColor="text1"/>
                <w:szCs w:val="21"/>
                <w:highlight w:val="none"/>
                <w14:textFill>
                  <w14:solidFill>
                    <w14:schemeClr w14:val="tx1"/>
                  </w14:solidFill>
                </w14:textFill>
              </w:rPr>
              <w:t>modbus rtu</w:t>
            </w:r>
            <w:r>
              <w:rPr>
                <w:rFonts w:ascii="Times New Roman" w:hAnsi="宋体" w:eastAsia="宋体" w:cs="Times New Roman"/>
                <w:color w:val="000000" w:themeColor="text1"/>
                <w:szCs w:val="21"/>
                <w:highlight w:val="none"/>
                <w14:textFill>
                  <w14:solidFill>
                    <w14:schemeClr w14:val="tx1"/>
                  </w14:solidFill>
                </w14:textFill>
              </w:rPr>
              <w:t>等通讯功能。</w:t>
            </w:r>
          </w:p>
        </w:tc>
        <w:tc>
          <w:tcPr>
            <w:tcW w:w="850" w:type="dxa"/>
            <w:tcBorders>
              <w:top w:val="nil"/>
              <w:left w:val="nil"/>
              <w:bottom w:val="single" w:color="auto" w:sz="4" w:space="0"/>
              <w:right w:val="single" w:color="auto" w:sz="4" w:space="0"/>
            </w:tcBorders>
            <w:vAlign w:val="center"/>
          </w:tcPr>
          <w:p w14:paraId="6AD0BB4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01F71296">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p>
        </w:tc>
        <w:tc>
          <w:tcPr>
            <w:tcW w:w="1134" w:type="dxa"/>
            <w:tcBorders>
              <w:top w:val="nil"/>
              <w:left w:val="nil"/>
              <w:bottom w:val="single" w:color="auto" w:sz="4" w:space="0"/>
              <w:right w:val="single" w:color="auto" w:sz="4" w:space="0"/>
            </w:tcBorders>
            <w:noWrap/>
            <w:vAlign w:val="center"/>
          </w:tcPr>
          <w:p w14:paraId="5C50504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0BF7E03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021EF67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659DBB40">
        <w:tblPrEx>
          <w:tblCellMar>
            <w:top w:w="0" w:type="dxa"/>
            <w:left w:w="108" w:type="dxa"/>
            <w:bottom w:w="0" w:type="dxa"/>
            <w:right w:w="108" w:type="dxa"/>
          </w:tblCellMar>
        </w:tblPrEx>
        <w:trPr>
          <w:cantSplit/>
          <w:trHeight w:val="2571" w:hRule="atLeast"/>
        </w:trPr>
        <w:tc>
          <w:tcPr>
            <w:tcW w:w="704" w:type="dxa"/>
            <w:tcBorders>
              <w:top w:val="single" w:color="auto" w:sz="4" w:space="0"/>
              <w:left w:val="single" w:color="auto" w:sz="4" w:space="0"/>
              <w:bottom w:val="single" w:color="auto" w:sz="4" w:space="0"/>
              <w:right w:val="single" w:color="auto" w:sz="4" w:space="0"/>
            </w:tcBorders>
            <w:vAlign w:val="center"/>
          </w:tcPr>
          <w:p w14:paraId="448A6DB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3E756304">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低压侧后备保护</w:t>
            </w:r>
          </w:p>
        </w:tc>
        <w:tc>
          <w:tcPr>
            <w:tcW w:w="2410" w:type="dxa"/>
            <w:tcBorders>
              <w:top w:val="single" w:color="auto" w:sz="4" w:space="0"/>
              <w:left w:val="nil"/>
              <w:bottom w:val="single" w:color="auto" w:sz="4" w:space="0"/>
              <w:right w:val="single" w:color="auto" w:sz="4" w:space="0"/>
            </w:tcBorders>
            <w:vAlign w:val="center"/>
          </w:tcPr>
          <w:p w14:paraId="7F771B67">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当低压侧母线、馈线或变压器内部故障而主保护或断路器拒动时，就地切除故障；同时防止变压器低压绕组和所连设备因过流、接地、过负荷受损。含三段复压过流保护、零序过流保护，过负荷保护等功能。装置具备对上</w:t>
            </w:r>
            <w:r>
              <w:rPr>
                <w:rFonts w:ascii="Times New Roman" w:hAnsi="Times New Roman" w:eastAsia="宋体" w:cs="Times New Roman"/>
                <w:color w:val="000000" w:themeColor="text1"/>
                <w:szCs w:val="21"/>
                <w:highlight w:val="none"/>
                <w14:textFill>
                  <w14:solidFill>
                    <w14:schemeClr w14:val="tx1"/>
                  </w14:solidFill>
                </w14:textFill>
              </w:rPr>
              <w:t>IEC61850</w:t>
            </w:r>
            <w:r>
              <w:rPr>
                <w:rFonts w:ascii="Times New Roman" w:hAnsi="宋体" w:eastAsia="宋体" w:cs="Times New Roman"/>
                <w:color w:val="000000" w:themeColor="text1"/>
                <w:szCs w:val="21"/>
                <w:highlight w:val="none"/>
                <w14:textFill>
                  <w14:solidFill>
                    <w14:schemeClr w14:val="tx1"/>
                  </w14:solidFill>
                </w14:textFill>
              </w:rPr>
              <w:t>和</w:t>
            </w:r>
            <w:r>
              <w:rPr>
                <w:rFonts w:ascii="Times New Roman" w:hAnsi="Times New Roman" w:eastAsia="宋体" w:cs="Times New Roman"/>
                <w:color w:val="000000" w:themeColor="text1"/>
                <w:szCs w:val="21"/>
                <w:highlight w:val="none"/>
                <w14:textFill>
                  <w14:solidFill>
                    <w14:schemeClr w14:val="tx1"/>
                  </w14:solidFill>
                </w14:textFill>
              </w:rPr>
              <w:t>modbus rtu</w:t>
            </w:r>
            <w:r>
              <w:rPr>
                <w:rFonts w:ascii="Times New Roman" w:hAnsi="宋体" w:eastAsia="宋体" w:cs="Times New Roman"/>
                <w:color w:val="000000" w:themeColor="text1"/>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3082A54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07A3016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25EAAAC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25AE575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709CEA52">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0C39F558">
        <w:tblPrEx>
          <w:tblCellMar>
            <w:top w:w="0" w:type="dxa"/>
            <w:left w:w="108" w:type="dxa"/>
            <w:bottom w:w="0" w:type="dxa"/>
            <w:right w:w="108" w:type="dxa"/>
          </w:tblCellMar>
        </w:tblPrEx>
        <w:trPr>
          <w:cantSplit/>
          <w:trHeight w:val="1553" w:hRule="atLeast"/>
        </w:trPr>
        <w:tc>
          <w:tcPr>
            <w:tcW w:w="704" w:type="dxa"/>
            <w:tcBorders>
              <w:top w:val="nil"/>
              <w:left w:val="single" w:color="auto" w:sz="4" w:space="0"/>
              <w:bottom w:val="single" w:color="auto" w:sz="4" w:space="0"/>
              <w:right w:val="single" w:color="auto" w:sz="4" w:space="0"/>
            </w:tcBorders>
            <w:vAlign w:val="center"/>
          </w:tcPr>
          <w:p w14:paraId="049E831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(4)</w:t>
            </w: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1D387B12">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操作箱（含非电量保护）</w:t>
            </w:r>
          </w:p>
        </w:tc>
        <w:tc>
          <w:tcPr>
            <w:tcW w:w="2410" w:type="dxa"/>
            <w:tcBorders>
              <w:top w:val="nil"/>
              <w:left w:val="nil"/>
              <w:bottom w:val="single" w:color="auto" w:sz="4" w:space="0"/>
              <w:right w:val="single" w:color="auto" w:sz="4" w:space="0"/>
            </w:tcBorders>
            <w:vAlign w:val="center"/>
          </w:tcPr>
          <w:p w14:paraId="18E8B8D4">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在接到任何分、合闸命令后，可靠完成断路器的分闸、合闸及自动重合闸动作，并实时监视自身二次回路、能源系统及断路器状态，异常立即告警或闭锁。</w:t>
            </w:r>
            <w:r>
              <w:rPr>
                <w:rFonts w:ascii="Times New Roman" w:hAnsi="Times New Roman" w:eastAsia="宋体" w:cs="Times New Roman"/>
                <w:color w:val="000000" w:themeColor="text1"/>
                <w:szCs w:val="21"/>
                <w:highlight w:val="none"/>
                <w14:textFill>
                  <w14:solidFill>
                    <w14:schemeClr w14:val="tx1"/>
                  </w14:solidFill>
                </w14:textFill>
              </w:rPr>
              <w:t xml:space="preserve">12 </w:t>
            </w:r>
            <w:r>
              <w:rPr>
                <w:rFonts w:ascii="Times New Roman" w:hAnsi="宋体" w:eastAsia="宋体" w:cs="Times New Roman"/>
                <w:color w:val="000000" w:themeColor="text1"/>
                <w:szCs w:val="21"/>
                <w:highlight w:val="none"/>
                <w14:textFill>
                  <w14:solidFill>
                    <w14:schemeClr w14:val="tx1"/>
                  </w14:solidFill>
                </w14:textFill>
              </w:rPr>
              <w:t>路非电量保护装置有三路不按相操作断路器的独立的跳合闸操作回路。两个电压切换回路。装置具备对上</w:t>
            </w:r>
            <w:r>
              <w:rPr>
                <w:rFonts w:ascii="Times New Roman" w:hAnsi="Times New Roman" w:eastAsia="宋体" w:cs="Times New Roman"/>
                <w:color w:val="000000" w:themeColor="text1"/>
                <w:szCs w:val="21"/>
                <w:highlight w:val="none"/>
                <w14:textFill>
                  <w14:solidFill>
                    <w14:schemeClr w14:val="tx1"/>
                  </w14:solidFill>
                </w14:textFill>
              </w:rPr>
              <w:t>IEC61850</w:t>
            </w:r>
            <w:r>
              <w:rPr>
                <w:rFonts w:ascii="Times New Roman" w:hAnsi="宋体" w:eastAsia="宋体" w:cs="Times New Roman"/>
                <w:color w:val="000000" w:themeColor="text1"/>
                <w:szCs w:val="21"/>
                <w:highlight w:val="none"/>
                <w14:textFill>
                  <w14:solidFill>
                    <w14:schemeClr w14:val="tx1"/>
                  </w14:solidFill>
                </w14:textFill>
              </w:rPr>
              <w:t>和</w:t>
            </w:r>
            <w:r>
              <w:rPr>
                <w:rFonts w:ascii="Times New Roman" w:hAnsi="Times New Roman" w:eastAsia="宋体" w:cs="Times New Roman"/>
                <w:color w:val="000000" w:themeColor="text1"/>
                <w:szCs w:val="21"/>
                <w:highlight w:val="none"/>
                <w14:textFill>
                  <w14:solidFill>
                    <w14:schemeClr w14:val="tx1"/>
                  </w14:solidFill>
                </w14:textFill>
              </w:rPr>
              <w:t>modbus rtu</w:t>
            </w:r>
            <w:r>
              <w:rPr>
                <w:rFonts w:ascii="Times New Roman" w:hAnsi="宋体" w:eastAsia="宋体" w:cs="Times New Roman"/>
                <w:color w:val="000000" w:themeColor="text1"/>
                <w:szCs w:val="21"/>
                <w:highlight w:val="none"/>
                <w14:textFill>
                  <w14:solidFill>
                    <w14:schemeClr w14:val="tx1"/>
                  </w14:solidFill>
                </w14:textFill>
              </w:rPr>
              <w:t>等通讯功能。</w:t>
            </w:r>
          </w:p>
        </w:tc>
        <w:tc>
          <w:tcPr>
            <w:tcW w:w="850" w:type="dxa"/>
            <w:tcBorders>
              <w:top w:val="nil"/>
              <w:left w:val="nil"/>
              <w:bottom w:val="single" w:color="auto" w:sz="4" w:space="0"/>
              <w:right w:val="single" w:color="auto" w:sz="4" w:space="0"/>
            </w:tcBorders>
            <w:vAlign w:val="center"/>
          </w:tcPr>
          <w:p w14:paraId="22F13AC2">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0E6E5AF0">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p>
        </w:tc>
        <w:tc>
          <w:tcPr>
            <w:tcW w:w="1134" w:type="dxa"/>
            <w:tcBorders>
              <w:top w:val="nil"/>
              <w:left w:val="nil"/>
              <w:bottom w:val="single" w:color="auto" w:sz="4" w:space="0"/>
              <w:right w:val="single" w:color="auto" w:sz="4" w:space="0"/>
            </w:tcBorders>
            <w:noWrap/>
            <w:vAlign w:val="center"/>
          </w:tcPr>
          <w:p w14:paraId="53E0EC8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3CD2FF1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364F30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7E8FF531">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vAlign w:val="center"/>
          </w:tcPr>
          <w:p w14:paraId="180AE5E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r>
              <w:rPr>
                <w:rFonts w:ascii="Times New Roman" w:hAnsi="Times New Roman" w:eastAsia="宋体" w:cs="Times New Roman"/>
                <w:color w:val="000000" w:themeColor="text1"/>
                <w:szCs w:val="21"/>
                <w:highlight w:val="none"/>
                <w14:textFill>
                  <w14:solidFill>
                    <w14:schemeClr w14:val="tx1"/>
                  </w14:solidFill>
                </w14:textFill>
              </w:rPr>
              <w:t>(5)</w:t>
            </w:r>
          </w:p>
        </w:tc>
        <w:tc>
          <w:tcPr>
            <w:tcW w:w="1276" w:type="dxa"/>
            <w:tcBorders>
              <w:top w:val="single" w:color="auto" w:sz="4" w:space="0"/>
              <w:left w:val="nil"/>
              <w:bottom w:val="single" w:color="auto" w:sz="4" w:space="0"/>
              <w:right w:val="single" w:color="auto" w:sz="4" w:space="0"/>
            </w:tcBorders>
            <w:vAlign w:val="center"/>
          </w:tcPr>
          <w:p w14:paraId="194404CD">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屏柜及二次配件</w:t>
            </w:r>
          </w:p>
        </w:tc>
        <w:tc>
          <w:tcPr>
            <w:tcW w:w="2410" w:type="dxa"/>
            <w:tcBorders>
              <w:top w:val="single" w:color="auto" w:sz="4" w:space="0"/>
              <w:left w:val="nil"/>
              <w:bottom w:val="single" w:color="auto" w:sz="4" w:space="0"/>
              <w:right w:val="single" w:color="auto" w:sz="4" w:space="0"/>
            </w:tcBorders>
            <w:vAlign w:val="center"/>
          </w:tcPr>
          <w:p w14:paraId="1084DE6E">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bookmarkStart w:id="60" w:name="OLE_LINK17"/>
            <w:r>
              <w:rPr>
                <w:rFonts w:ascii="Times New Roman" w:hAnsi="宋体" w:eastAsia="宋体" w:cs="Times New Roman"/>
                <w:color w:val="000000" w:themeColor="text1"/>
                <w:szCs w:val="21"/>
                <w:highlight w:val="none"/>
                <w14:textFill>
                  <w14:solidFill>
                    <w14:schemeClr w14:val="tx1"/>
                  </w14:solidFill>
                </w14:textFill>
              </w:rPr>
              <w:t>屏体</w:t>
            </w:r>
            <w:r>
              <w:rPr>
                <w:rFonts w:ascii="Times New Roman" w:hAnsi="Times New Roman" w:eastAsia="宋体" w:cs="Times New Roman"/>
                <w:color w:val="000000" w:themeColor="text1"/>
                <w:szCs w:val="21"/>
                <w:highlight w:val="none"/>
                <w14:textFill>
                  <w14:solidFill>
                    <w14:schemeClr w14:val="tx1"/>
                  </w14:solidFill>
                </w14:textFill>
              </w:rPr>
              <w:t>2260*800*600mm</w:t>
            </w:r>
            <w:r>
              <w:rPr>
                <w:rFonts w:ascii="Times New Roman" w:hAnsi="宋体" w:eastAsia="宋体" w:cs="Times New Roman"/>
                <w:color w:val="000000" w:themeColor="text1"/>
                <w:szCs w:val="21"/>
                <w:highlight w:val="none"/>
                <w14:textFill>
                  <w14:solidFill>
                    <w14:schemeClr w14:val="tx1"/>
                  </w14:solidFill>
                </w14:textFill>
              </w:rPr>
              <w:t>，</w:t>
            </w:r>
            <w:bookmarkEnd w:id="60"/>
            <w:r>
              <w:rPr>
                <w:rFonts w:ascii="Times New Roman" w:hAnsi="宋体" w:eastAsia="宋体" w:cs="Times New Roman"/>
                <w:color w:val="000000" w:themeColor="text1"/>
                <w:szCs w:val="21"/>
                <w:highlight w:val="none"/>
                <w14:textFill>
                  <w14:solidFill>
                    <w14:schemeClr w14:val="tx1"/>
                  </w14:solidFill>
                </w14:textFill>
              </w:rPr>
              <w:t>含端子排、照明、温湿度控制、加热器等。</w:t>
            </w:r>
          </w:p>
        </w:tc>
        <w:tc>
          <w:tcPr>
            <w:tcW w:w="850" w:type="dxa"/>
            <w:tcBorders>
              <w:top w:val="single" w:color="auto" w:sz="4" w:space="0"/>
              <w:left w:val="nil"/>
              <w:bottom w:val="single" w:color="auto" w:sz="4" w:space="0"/>
              <w:right w:val="single" w:color="auto" w:sz="4" w:space="0"/>
            </w:tcBorders>
            <w:vAlign w:val="center"/>
          </w:tcPr>
          <w:p w14:paraId="76D9945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面</w:t>
            </w:r>
          </w:p>
        </w:tc>
        <w:tc>
          <w:tcPr>
            <w:tcW w:w="992" w:type="dxa"/>
            <w:tcBorders>
              <w:top w:val="single" w:color="auto" w:sz="4" w:space="0"/>
              <w:left w:val="nil"/>
              <w:bottom w:val="single" w:color="auto" w:sz="4" w:space="0"/>
              <w:right w:val="single" w:color="auto" w:sz="4" w:space="0"/>
            </w:tcBorders>
            <w:vAlign w:val="center"/>
          </w:tcPr>
          <w:p w14:paraId="0F91CA7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4B5B519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1F58F4E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7668A4A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6594F4EF">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39FD86ED">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26D569B2">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直流屏</w:t>
            </w:r>
          </w:p>
        </w:tc>
        <w:tc>
          <w:tcPr>
            <w:tcW w:w="2410" w:type="dxa"/>
            <w:tcBorders>
              <w:top w:val="nil"/>
              <w:left w:val="nil"/>
              <w:bottom w:val="single" w:color="auto" w:sz="4" w:space="0"/>
              <w:right w:val="single" w:color="auto" w:sz="4" w:space="0"/>
            </w:tcBorders>
            <w:vAlign w:val="center"/>
          </w:tcPr>
          <w:p w14:paraId="2350ACFE">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充电屏及馈电屏整体更换，电池屏仅更换屏体。详见附表二：直流屏配置表</w:t>
            </w:r>
          </w:p>
        </w:tc>
        <w:tc>
          <w:tcPr>
            <w:tcW w:w="850" w:type="dxa"/>
            <w:tcBorders>
              <w:top w:val="nil"/>
              <w:left w:val="nil"/>
              <w:bottom w:val="single" w:color="auto" w:sz="4" w:space="0"/>
              <w:right w:val="single" w:color="auto" w:sz="4" w:space="0"/>
            </w:tcBorders>
            <w:vAlign w:val="center"/>
          </w:tcPr>
          <w:p w14:paraId="3B7497B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744BBCCC">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2DE85F13">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4D24DF7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040FE7ED">
            <w:pPr>
              <w:widowControl/>
              <w:jc w:val="center"/>
              <w:rPr>
                <w:rFonts w:ascii="Times New Roman" w:hAnsi="Times New Roman" w:eastAsia="宋体" w:cs="Times New Roman"/>
                <w:color w:val="000000" w:themeColor="text1"/>
                <w:szCs w:val="21"/>
                <w:highlight w:val="none"/>
                <w14:textFill>
                  <w14:solidFill>
                    <w14:schemeClr w14:val="tx1"/>
                  </w14:solidFill>
                </w14:textFill>
              </w:rPr>
            </w:pPr>
          </w:p>
        </w:tc>
      </w:tr>
      <w:tr w14:paraId="423639F7">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28A3A9F5">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vAlign w:val="center"/>
          </w:tcPr>
          <w:p w14:paraId="6739B0DD">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安装施工、调试</w:t>
            </w:r>
          </w:p>
        </w:tc>
        <w:tc>
          <w:tcPr>
            <w:tcW w:w="2410" w:type="dxa"/>
            <w:tcBorders>
              <w:top w:val="nil"/>
              <w:left w:val="nil"/>
              <w:bottom w:val="single" w:color="auto" w:sz="4" w:space="0"/>
              <w:right w:val="single" w:color="auto" w:sz="4" w:space="0"/>
            </w:tcBorders>
            <w:vAlign w:val="center"/>
          </w:tcPr>
          <w:p w14:paraId="3F9569D8">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含原有屏体、线缆等拆除、新屏体安装、接线、调试。</w:t>
            </w:r>
          </w:p>
        </w:tc>
        <w:tc>
          <w:tcPr>
            <w:tcW w:w="850" w:type="dxa"/>
            <w:tcBorders>
              <w:top w:val="nil"/>
              <w:left w:val="nil"/>
              <w:bottom w:val="single" w:color="auto" w:sz="4" w:space="0"/>
              <w:right w:val="single" w:color="auto" w:sz="4" w:space="0"/>
            </w:tcBorders>
            <w:vAlign w:val="center"/>
          </w:tcPr>
          <w:p w14:paraId="478167CF">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1487CC74">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1C42AE6E">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035A7B65">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7E5485E9">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5EA5C589">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3674EC31">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三</w:t>
            </w:r>
          </w:p>
        </w:tc>
        <w:tc>
          <w:tcPr>
            <w:tcW w:w="1276" w:type="dxa"/>
            <w:tcBorders>
              <w:top w:val="nil"/>
              <w:left w:val="nil"/>
              <w:bottom w:val="single" w:color="auto" w:sz="4" w:space="0"/>
              <w:right w:val="single" w:color="auto" w:sz="4" w:space="0"/>
            </w:tcBorders>
            <w:vAlign w:val="center"/>
          </w:tcPr>
          <w:p w14:paraId="14870B3E">
            <w:pPr>
              <w:widowControl/>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14:textFill>
                  <w14:solidFill>
                    <w14:schemeClr w14:val="tx1"/>
                  </w14:solidFill>
                </w14:textFill>
              </w:rPr>
              <w:t>6kV</w:t>
            </w:r>
            <w:r>
              <w:rPr>
                <w:rFonts w:ascii="Times New Roman" w:hAnsi="宋体" w:eastAsia="宋体" w:cs="Times New Roman"/>
                <w:b/>
                <w:bCs/>
                <w:color w:val="000000" w:themeColor="text1"/>
                <w:szCs w:val="21"/>
                <w:highlight w:val="none"/>
                <w14:textFill>
                  <w14:solidFill>
                    <w14:schemeClr w14:val="tx1"/>
                  </w14:solidFill>
                </w14:textFill>
              </w:rPr>
              <w:t>高压开关柜</w:t>
            </w:r>
          </w:p>
        </w:tc>
        <w:tc>
          <w:tcPr>
            <w:tcW w:w="2410" w:type="dxa"/>
            <w:tcBorders>
              <w:top w:val="nil"/>
              <w:left w:val="nil"/>
              <w:bottom w:val="single" w:color="auto" w:sz="4" w:space="0"/>
              <w:right w:val="single" w:color="auto" w:sz="4" w:space="0"/>
            </w:tcBorders>
            <w:vAlign w:val="center"/>
          </w:tcPr>
          <w:p w14:paraId="2C23D316">
            <w:pPr>
              <w:widowControl/>
              <w:wordWrap w:val="0"/>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Ⅱ</w:t>
            </w:r>
            <w:r>
              <w:rPr>
                <w:rFonts w:ascii="Times New Roman" w:hAnsi="宋体" w:eastAsia="宋体" w:cs="Times New Roman"/>
                <w:color w:val="000000" w:themeColor="text1"/>
                <w:szCs w:val="21"/>
                <w:highlight w:val="none"/>
                <w14:textFill>
                  <w14:solidFill>
                    <w14:schemeClr w14:val="tx1"/>
                  </w14:solidFill>
                </w14:textFill>
              </w:rPr>
              <w:t>段</w:t>
            </w:r>
            <w:r>
              <w:rPr>
                <w:rFonts w:ascii="Times New Roman" w:hAnsi="Times New Roman" w:eastAsia="宋体" w:cs="Times New Roman"/>
                <w:color w:val="000000" w:themeColor="text1"/>
                <w:szCs w:val="21"/>
                <w:highlight w:val="none"/>
                <w14:textFill>
                  <w14:solidFill>
                    <w14:schemeClr w14:val="tx1"/>
                  </w14:solidFill>
                </w14:textFill>
              </w:rPr>
              <w:t>Ⅲ</w:t>
            </w:r>
            <w:r>
              <w:rPr>
                <w:rFonts w:ascii="Times New Roman" w:hAnsi="宋体" w:eastAsia="宋体" w:cs="Times New Roman"/>
                <w:color w:val="000000" w:themeColor="text1"/>
                <w:szCs w:val="21"/>
                <w:highlight w:val="none"/>
                <w14:textFill>
                  <w14:solidFill>
                    <w14:schemeClr w14:val="tx1"/>
                  </w14:solidFill>
                </w14:textFill>
              </w:rPr>
              <w:t>段母线联络开关柜</w:t>
            </w:r>
            <w:r>
              <w:rPr>
                <w:rFonts w:ascii="Times New Roman" w:hAnsi="Times New Roman" w:eastAsia="宋体" w:cs="Times New Roman"/>
                <w:color w:val="000000" w:themeColor="text1"/>
                <w:szCs w:val="21"/>
                <w:highlight w:val="none"/>
                <w14:textFill>
                  <w14:solidFill>
                    <w14:schemeClr w14:val="tx1"/>
                  </w14:solidFill>
                </w14:textFill>
              </w:rPr>
              <w:t>6kv</w:t>
            </w:r>
            <w:r>
              <w:rPr>
                <w:rFonts w:ascii="Times New Roman" w:hAnsi="宋体" w:eastAsia="宋体" w:cs="Times New Roman"/>
                <w:color w:val="000000" w:themeColor="text1"/>
                <w:szCs w:val="21"/>
                <w:highlight w:val="none"/>
                <w14:textFill>
                  <w14:solidFill>
                    <w14:schemeClr w14:val="tx1"/>
                  </w14:solidFill>
                </w14:textFill>
              </w:rPr>
              <w:t>断路器更换。</w:t>
            </w:r>
          </w:p>
        </w:tc>
        <w:tc>
          <w:tcPr>
            <w:tcW w:w="850" w:type="dxa"/>
            <w:tcBorders>
              <w:top w:val="nil"/>
              <w:left w:val="nil"/>
              <w:bottom w:val="single" w:color="auto" w:sz="4" w:space="0"/>
              <w:right w:val="single" w:color="auto" w:sz="4" w:space="0"/>
            </w:tcBorders>
            <w:vAlign w:val="center"/>
          </w:tcPr>
          <w:p w14:paraId="5B84F8D8">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3934C2F1">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74978CF2">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4BEB52DB">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6DD3E247">
            <w:pPr>
              <w:widowControl/>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r w14:paraId="5D80AEA9">
        <w:tblPrEx>
          <w:tblCellMar>
            <w:top w:w="0" w:type="dxa"/>
            <w:left w:w="108" w:type="dxa"/>
            <w:bottom w:w="0" w:type="dxa"/>
            <w:right w:w="108" w:type="dxa"/>
          </w:tblCellMar>
        </w:tblPrEx>
        <w:trPr>
          <w:cantSplit/>
          <w:trHeight w:val="524" w:hRule="atLeast"/>
        </w:trPr>
        <w:tc>
          <w:tcPr>
            <w:tcW w:w="704" w:type="dxa"/>
            <w:tcBorders>
              <w:top w:val="nil"/>
              <w:left w:val="single" w:color="auto" w:sz="4" w:space="0"/>
              <w:bottom w:val="single" w:color="auto" w:sz="4" w:space="0"/>
              <w:right w:val="single" w:color="auto" w:sz="4" w:space="0"/>
            </w:tcBorders>
            <w:noWrap/>
            <w:vAlign w:val="bottom"/>
          </w:tcPr>
          <w:p w14:paraId="0BFB6C52">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noWrap/>
            <w:vAlign w:val="center"/>
          </w:tcPr>
          <w:p w14:paraId="3FF91187">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总计</w:t>
            </w:r>
          </w:p>
        </w:tc>
        <w:tc>
          <w:tcPr>
            <w:tcW w:w="2410" w:type="dxa"/>
            <w:tcBorders>
              <w:top w:val="nil"/>
              <w:left w:val="nil"/>
              <w:bottom w:val="single" w:color="auto" w:sz="4" w:space="0"/>
              <w:right w:val="single" w:color="auto" w:sz="4" w:space="0"/>
            </w:tcBorders>
            <w:noWrap/>
            <w:vAlign w:val="bottom"/>
          </w:tcPr>
          <w:p w14:paraId="21E26D10">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noWrap/>
            <w:vAlign w:val="bottom"/>
          </w:tcPr>
          <w:p w14:paraId="5FECA1DC">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2517098D">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7D35F6AC">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264F6777">
            <w:pPr>
              <w:widowControl/>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bottom"/>
          </w:tcPr>
          <w:p w14:paraId="24D74545">
            <w:pPr>
              <w:widowControl/>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　</w:t>
            </w:r>
          </w:p>
        </w:tc>
      </w:tr>
    </w:tbl>
    <w:p w14:paraId="6D604050">
      <w:pPr>
        <w:widowControl/>
        <w:jc w:val="left"/>
        <w:textAlignment w:val="center"/>
        <w:rPr>
          <w:rFonts w:ascii="Times New Roman" w:hAnsi="Times New Roman" w:cs="Times New Roman"/>
          <w:color w:val="000000" w:themeColor="text1"/>
          <w:szCs w:val="21"/>
          <w:highlight w:val="none"/>
          <w14:textFill>
            <w14:solidFill>
              <w14:schemeClr w14:val="tx1"/>
            </w14:solidFill>
          </w14:textFill>
        </w:rPr>
      </w:pPr>
    </w:p>
    <w:tbl>
      <w:tblPr>
        <w:tblStyle w:val="51"/>
        <w:tblW w:w="0" w:type="auto"/>
        <w:tblInd w:w="108" w:type="dxa"/>
        <w:tblLayout w:type="fixed"/>
        <w:tblCellMar>
          <w:top w:w="0" w:type="dxa"/>
          <w:left w:w="108" w:type="dxa"/>
          <w:bottom w:w="0" w:type="dxa"/>
          <w:right w:w="108" w:type="dxa"/>
        </w:tblCellMar>
      </w:tblPr>
      <w:tblGrid>
        <w:gridCol w:w="709"/>
        <w:gridCol w:w="1276"/>
        <w:gridCol w:w="2114"/>
        <w:gridCol w:w="863"/>
        <w:gridCol w:w="992"/>
        <w:gridCol w:w="1276"/>
        <w:gridCol w:w="1134"/>
        <w:gridCol w:w="758"/>
      </w:tblGrid>
      <w:tr w14:paraId="1F6C9FEC">
        <w:tblPrEx>
          <w:tblCellMar>
            <w:top w:w="0" w:type="dxa"/>
            <w:left w:w="108" w:type="dxa"/>
            <w:bottom w:w="0" w:type="dxa"/>
            <w:right w:w="108" w:type="dxa"/>
          </w:tblCellMar>
        </w:tblPrEx>
        <w:trPr>
          <w:cantSplit/>
          <w:trHeight w:val="280" w:hRule="atLeast"/>
        </w:trPr>
        <w:tc>
          <w:tcPr>
            <w:tcW w:w="9122" w:type="dxa"/>
            <w:gridSpan w:val="8"/>
            <w:tcBorders>
              <w:top w:val="nil"/>
              <w:left w:val="nil"/>
              <w:bottom w:val="single" w:color="auto" w:sz="4" w:space="0"/>
              <w:right w:val="nil"/>
            </w:tcBorders>
            <w:noWrap/>
            <w:vAlign w:val="bottom"/>
          </w:tcPr>
          <w:p w14:paraId="637096DB">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附表一：</w:t>
            </w:r>
            <w:r>
              <w:rPr>
                <w:rFonts w:ascii="Times New Roman" w:hAnsi="Times New Roman" w:cs="Times New Roman"/>
                <w:b/>
                <w:bCs/>
                <w:color w:val="000000" w:themeColor="text1"/>
                <w:szCs w:val="21"/>
                <w:highlight w:val="none"/>
                <w14:textFill>
                  <w14:solidFill>
                    <w14:schemeClr w14:val="tx1"/>
                  </w14:solidFill>
                </w14:textFill>
              </w:rPr>
              <w:t>PLC</w:t>
            </w:r>
            <w:r>
              <w:rPr>
                <w:rFonts w:ascii="Times New Roman" w:cs="Times New Roman" w:hAnsiTheme="minorEastAsia"/>
                <w:b/>
                <w:bCs/>
                <w:color w:val="000000" w:themeColor="text1"/>
                <w:szCs w:val="21"/>
                <w:highlight w:val="none"/>
                <w14:textFill>
                  <w14:solidFill>
                    <w14:schemeClr w14:val="tx1"/>
                  </w14:solidFill>
                </w14:textFill>
              </w:rPr>
              <w:t>柜配置表</w:t>
            </w:r>
          </w:p>
        </w:tc>
      </w:tr>
      <w:tr w14:paraId="30688B8E">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79F0EAE9">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序号</w:t>
            </w:r>
          </w:p>
        </w:tc>
        <w:tc>
          <w:tcPr>
            <w:tcW w:w="1276" w:type="dxa"/>
            <w:tcBorders>
              <w:top w:val="nil"/>
              <w:left w:val="nil"/>
              <w:bottom w:val="single" w:color="auto" w:sz="4" w:space="0"/>
              <w:right w:val="single" w:color="auto" w:sz="4" w:space="0"/>
            </w:tcBorders>
            <w:noWrap/>
            <w:vAlign w:val="center"/>
          </w:tcPr>
          <w:p w14:paraId="37D50E94">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项目名称</w:t>
            </w:r>
          </w:p>
        </w:tc>
        <w:tc>
          <w:tcPr>
            <w:tcW w:w="2114" w:type="dxa"/>
            <w:tcBorders>
              <w:top w:val="nil"/>
              <w:left w:val="nil"/>
              <w:bottom w:val="single" w:color="auto" w:sz="4" w:space="0"/>
              <w:right w:val="single" w:color="auto" w:sz="4" w:space="0"/>
            </w:tcBorders>
            <w:noWrap/>
            <w:vAlign w:val="center"/>
          </w:tcPr>
          <w:p w14:paraId="7325F655">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项目特征</w:t>
            </w:r>
            <w:r>
              <w:rPr>
                <w:rFonts w:ascii="Times New Roman" w:hAnsi="Times New Roman" w:cs="Times New Roman"/>
                <w:b/>
                <w:bCs/>
                <w:color w:val="000000" w:themeColor="text1"/>
                <w:szCs w:val="21"/>
                <w:highlight w:val="none"/>
                <w14:textFill>
                  <w14:solidFill>
                    <w14:schemeClr w14:val="tx1"/>
                  </w14:solidFill>
                </w14:textFill>
              </w:rPr>
              <w:t>(</w:t>
            </w:r>
            <w:r>
              <w:rPr>
                <w:rFonts w:ascii="Times New Roman" w:cs="Times New Roman" w:hAnsiTheme="minorEastAsia"/>
                <w:b/>
                <w:bCs/>
                <w:color w:val="000000" w:themeColor="text1"/>
                <w:szCs w:val="21"/>
                <w:highlight w:val="none"/>
                <w14:textFill>
                  <w14:solidFill>
                    <w14:schemeClr w14:val="tx1"/>
                  </w14:solidFill>
                </w14:textFill>
              </w:rPr>
              <w:t>含规格、型号等</w:t>
            </w:r>
          </w:p>
        </w:tc>
        <w:tc>
          <w:tcPr>
            <w:tcW w:w="863" w:type="dxa"/>
            <w:tcBorders>
              <w:top w:val="nil"/>
              <w:left w:val="nil"/>
              <w:bottom w:val="single" w:color="auto" w:sz="4" w:space="0"/>
              <w:right w:val="single" w:color="auto" w:sz="4" w:space="0"/>
            </w:tcBorders>
            <w:noWrap/>
            <w:vAlign w:val="center"/>
          </w:tcPr>
          <w:p w14:paraId="737F5AAC">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单位</w:t>
            </w:r>
          </w:p>
        </w:tc>
        <w:tc>
          <w:tcPr>
            <w:tcW w:w="992" w:type="dxa"/>
            <w:tcBorders>
              <w:top w:val="nil"/>
              <w:left w:val="nil"/>
              <w:bottom w:val="single" w:color="auto" w:sz="4" w:space="0"/>
              <w:right w:val="single" w:color="auto" w:sz="4" w:space="0"/>
            </w:tcBorders>
            <w:noWrap/>
            <w:vAlign w:val="center"/>
          </w:tcPr>
          <w:p w14:paraId="21C0EB59">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工程量</w:t>
            </w:r>
          </w:p>
        </w:tc>
        <w:tc>
          <w:tcPr>
            <w:tcW w:w="1276" w:type="dxa"/>
            <w:tcBorders>
              <w:top w:val="nil"/>
              <w:left w:val="nil"/>
              <w:bottom w:val="single" w:color="auto" w:sz="4" w:space="0"/>
              <w:right w:val="single" w:color="auto" w:sz="4" w:space="0"/>
            </w:tcBorders>
            <w:noWrap/>
            <w:vAlign w:val="center"/>
          </w:tcPr>
          <w:p w14:paraId="70E26AC9">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全费用单价（元）</w:t>
            </w:r>
          </w:p>
        </w:tc>
        <w:tc>
          <w:tcPr>
            <w:tcW w:w="1134" w:type="dxa"/>
            <w:tcBorders>
              <w:top w:val="nil"/>
              <w:left w:val="nil"/>
              <w:bottom w:val="single" w:color="auto" w:sz="4" w:space="0"/>
              <w:right w:val="single" w:color="auto" w:sz="4" w:space="0"/>
            </w:tcBorders>
            <w:noWrap/>
            <w:vAlign w:val="center"/>
          </w:tcPr>
          <w:p w14:paraId="56ED6A7D">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合计（元）</w:t>
            </w:r>
          </w:p>
        </w:tc>
        <w:tc>
          <w:tcPr>
            <w:tcW w:w="758" w:type="dxa"/>
            <w:tcBorders>
              <w:top w:val="nil"/>
              <w:left w:val="nil"/>
              <w:bottom w:val="single" w:color="auto" w:sz="4" w:space="0"/>
              <w:right w:val="single" w:color="auto" w:sz="4" w:space="0"/>
            </w:tcBorders>
            <w:noWrap/>
            <w:vAlign w:val="center"/>
          </w:tcPr>
          <w:p w14:paraId="6DC79780">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备注</w:t>
            </w:r>
          </w:p>
        </w:tc>
      </w:tr>
      <w:tr w14:paraId="26BFF7FA">
        <w:tblPrEx>
          <w:tblCellMar>
            <w:top w:w="0" w:type="dxa"/>
            <w:left w:w="108" w:type="dxa"/>
            <w:bottom w:w="0" w:type="dxa"/>
            <w:right w:w="108" w:type="dxa"/>
          </w:tblCellMar>
        </w:tblPrEx>
        <w:trPr>
          <w:cantSplit/>
          <w:trHeight w:val="520" w:hRule="atLeast"/>
        </w:trPr>
        <w:tc>
          <w:tcPr>
            <w:tcW w:w="709" w:type="dxa"/>
            <w:tcBorders>
              <w:top w:val="nil"/>
              <w:left w:val="single" w:color="auto" w:sz="4" w:space="0"/>
              <w:bottom w:val="single" w:color="auto" w:sz="4" w:space="0"/>
              <w:right w:val="single" w:color="auto" w:sz="4" w:space="0"/>
            </w:tcBorders>
            <w:vAlign w:val="center"/>
          </w:tcPr>
          <w:p w14:paraId="471FFA9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vAlign w:val="center"/>
          </w:tcPr>
          <w:p w14:paraId="0678E710">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CPU</w:t>
            </w:r>
            <w:r>
              <w:rPr>
                <w:rFonts w:ascii="Times New Roman" w:cs="Times New Roman" w:hAnsiTheme="minorEastAsia"/>
                <w:color w:val="000000" w:themeColor="text1"/>
                <w:szCs w:val="21"/>
                <w:highlight w:val="none"/>
                <w14:textFill>
                  <w14:solidFill>
                    <w14:schemeClr w14:val="tx1"/>
                  </w14:solidFill>
                </w14:textFill>
              </w:rPr>
              <w:t>模块</w:t>
            </w:r>
          </w:p>
        </w:tc>
        <w:tc>
          <w:tcPr>
            <w:tcW w:w="2114" w:type="dxa"/>
            <w:tcBorders>
              <w:top w:val="nil"/>
              <w:left w:val="nil"/>
              <w:bottom w:val="single" w:color="auto" w:sz="4" w:space="0"/>
              <w:right w:val="single" w:color="auto" w:sz="4" w:space="0"/>
            </w:tcBorders>
            <w:vAlign w:val="center"/>
          </w:tcPr>
          <w:p w14:paraId="4E58DA44">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自主可控</w:t>
            </w:r>
            <w:r>
              <w:rPr>
                <w:rFonts w:ascii="Times New Roman" w:hAnsi="Times New Roman" w:cs="Times New Roman"/>
                <w:color w:val="000000" w:themeColor="text1"/>
                <w:szCs w:val="21"/>
                <w:highlight w:val="none"/>
                <w14:textFill>
                  <w14:solidFill>
                    <w14:schemeClr w14:val="tx1"/>
                  </w14:solidFill>
                </w14:textFill>
              </w:rPr>
              <w:t>CPU</w:t>
            </w:r>
            <w:r>
              <w:rPr>
                <w:rFonts w:ascii="Times New Roman" w:cs="Times New Roman" w:hAnsiTheme="minorEastAsia"/>
                <w:color w:val="000000" w:themeColor="text1"/>
                <w:szCs w:val="21"/>
                <w:highlight w:val="none"/>
                <w14:textFill>
                  <w14:solidFill>
                    <w14:schemeClr w14:val="tx1"/>
                  </w14:solidFill>
                </w14:textFill>
              </w:rPr>
              <w:t>，主频</w:t>
            </w:r>
            <w:r>
              <w:rPr>
                <w:rFonts w:ascii="Times New Roman" w:hAnsi="Times New Roman" w:cs="Times New Roman"/>
                <w:color w:val="000000" w:themeColor="text1"/>
                <w:szCs w:val="21"/>
                <w:highlight w:val="none"/>
                <w14:textFill>
                  <w14:solidFill>
                    <w14:schemeClr w14:val="tx1"/>
                  </w14:solidFill>
                </w14:textFill>
              </w:rPr>
              <w:t>≥1GHz</w:t>
            </w:r>
            <w:r>
              <w:rPr>
                <w:rFonts w:ascii="Times New Roman" w:cs="Times New Roman" w:hAnsiTheme="minorEastAsia"/>
                <w:color w:val="000000" w:themeColor="text1"/>
                <w:szCs w:val="21"/>
                <w:highlight w:val="none"/>
                <w14:textFill>
                  <w14:solidFill>
                    <w14:schemeClr w14:val="tx1"/>
                  </w14:solidFill>
                </w14:textFill>
              </w:rPr>
              <w:t>，自带两路独立</w:t>
            </w:r>
            <w:r>
              <w:rPr>
                <w:rFonts w:ascii="Times New Roman" w:hAnsi="Times New Roman" w:cs="Times New Roman"/>
                <w:color w:val="000000" w:themeColor="text1"/>
                <w:szCs w:val="21"/>
                <w:highlight w:val="none"/>
                <w14:textFill>
                  <w14:solidFill>
                    <w14:schemeClr w14:val="tx1"/>
                  </w14:solidFill>
                </w14:textFill>
              </w:rPr>
              <w:t>IP</w:t>
            </w:r>
            <w:r>
              <w:rPr>
                <w:rFonts w:ascii="Times New Roman" w:cs="Times New Roman" w:hAnsiTheme="minorEastAsia"/>
                <w:color w:val="000000" w:themeColor="text1"/>
                <w:szCs w:val="21"/>
                <w:highlight w:val="none"/>
                <w14:textFill>
                  <w14:solidFill>
                    <w14:schemeClr w14:val="tx1"/>
                  </w14:solidFill>
                </w14:textFill>
              </w:rPr>
              <w:t>以太网口，支持网络冗余，支持</w:t>
            </w:r>
            <w:r>
              <w:rPr>
                <w:rFonts w:ascii="Times New Roman" w:hAnsi="Times New Roman" w:cs="Times New Roman"/>
                <w:color w:val="000000" w:themeColor="text1"/>
                <w:szCs w:val="21"/>
                <w:highlight w:val="none"/>
                <w14:textFill>
                  <w14:solidFill>
                    <w14:schemeClr w14:val="tx1"/>
                  </w14:solidFill>
                </w14:textFill>
              </w:rPr>
              <w:t>TCP</w:t>
            </w:r>
            <w:r>
              <w:rPr>
                <w:rFonts w:ascii="Times New Roman" w:cs="Times New Roman" w:hAnsiTheme="minorEastAsia"/>
                <w:color w:val="000000" w:themeColor="text1"/>
                <w:szCs w:val="21"/>
                <w:highlight w:val="none"/>
                <w14:textFill>
                  <w14:solidFill>
                    <w14:schemeClr w14:val="tx1"/>
                  </w14:solidFill>
                </w14:textFill>
              </w:rPr>
              <w:t>客户端</w:t>
            </w:r>
            <w:r>
              <w:rPr>
                <w:rFonts w:ascii="Times New Roman" w:hAnsi="Times New Roman" w:cs="Times New Roman"/>
                <w:color w:val="000000" w:themeColor="text1"/>
                <w:szCs w:val="21"/>
                <w:highlight w:val="none"/>
                <w14:textFill>
                  <w14:solidFill>
                    <w14:schemeClr w14:val="tx1"/>
                  </w14:solidFill>
                </w14:textFill>
              </w:rPr>
              <w:t>/</w:t>
            </w:r>
            <w:r>
              <w:rPr>
                <w:rFonts w:ascii="Times New Roman" w:cs="Times New Roman" w:hAnsiTheme="minorEastAsia"/>
                <w:color w:val="000000" w:themeColor="text1"/>
                <w:szCs w:val="21"/>
                <w:highlight w:val="none"/>
                <w14:textFill>
                  <w14:solidFill>
                    <w14:schemeClr w14:val="tx1"/>
                  </w14:solidFill>
                </w14:textFill>
              </w:rPr>
              <w:t>服务端，</w:t>
            </w:r>
            <w:r>
              <w:rPr>
                <w:rFonts w:ascii="Times New Roman" w:hAnsi="Times New Roman" w:cs="Times New Roman"/>
                <w:color w:val="000000" w:themeColor="text1"/>
                <w:szCs w:val="21"/>
                <w:highlight w:val="none"/>
                <w14:textFill>
                  <w14:solidFill>
                    <w14:schemeClr w14:val="tx1"/>
                  </w14:solidFill>
                </w14:textFill>
              </w:rPr>
              <w:t>1</w:t>
            </w:r>
            <w:r>
              <w:rPr>
                <w:rFonts w:ascii="Times New Roman" w:cs="Times New Roman" w:hAnsiTheme="minorEastAsia"/>
                <w:color w:val="000000" w:themeColor="text1"/>
                <w:szCs w:val="21"/>
                <w:highlight w:val="none"/>
                <w14:textFill>
                  <w14:solidFill>
                    <w14:schemeClr w14:val="tx1"/>
                  </w14:solidFill>
                </w14:textFill>
              </w:rPr>
              <w:t>路串口，支持</w:t>
            </w:r>
            <w:r>
              <w:rPr>
                <w:rFonts w:ascii="Times New Roman" w:hAnsi="Times New Roman" w:cs="Times New Roman"/>
                <w:color w:val="000000" w:themeColor="text1"/>
                <w:szCs w:val="21"/>
                <w:highlight w:val="none"/>
                <w14:textFill>
                  <w14:solidFill>
                    <w14:schemeClr w14:val="tx1"/>
                  </w14:solidFill>
                </w14:textFill>
              </w:rPr>
              <w:t>RTU</w:t>
            </w:r>
            <w:r>
              <w:rPr>
                <w:rFonts w:ascii="Times New Roman" w:cs="Times New Roman" w:hAnsiTheme="minorEastAsia"/>
                <w:color w:val="000000" w:themeColor="text1"/>
                <w:szCs w:val="21"/>
                <w:highlight w:val="none"/>
                <w14:textFill>
                  <w14:solidFill>
                    <w14:schemeClr w14:val="tx1"/>
                  </w14:solidFill>
                </w14:textFill>
              </w:rPr>
              <w:t>主站</w:t>
            </w:r>
            <w:r>
              <w:rPr>
                <w:rFonts w:ascii="Times New Roman" w:hAnsi="Times New Roman" w:cs="Times New Roman"/>
                <w:color w:val="000000" w:themeColor="text1"/>
                <w:szCs w:val="21"/>
                <w:highlight w:val="none"/>
                <w14:textFill>
                  <w14:solidFill>
                    <w14:schemeClr w14:val="tx1"/>
                  </w14:solidFill>
                </w14:textFill>
              </w:rPr>
              <w:t>/</w:t>
            </w:r>
            <w:r>
              <w:rPr>
                <w:rFonts w:ascii="Times New Roman" w:cs="Times New Roman" w:hAnsiTheme="minorEastAsia"/>
                <w:color w:val="000000" w:themeColor="text1"/>
                <w:szCs w:val="21"/>
                <w:highlight w:val="none"/>
                <w14:textFill>
                  <w14:solidFill>
                    <w14:schemeClr w14:val="tx1"/>
                  </w14:solidFill>
                </w14:textFill>
              </w:rPr>
              <w:t>从站</w:t>
            </w:r>
          </w:p>
        </w:tc>
        <w:tc>
          <w:tcPr>
            <w:tcW w:w="863" w:type="dxa"/>
            <w:tcBorders>
              <w:top w:val="nil"/>
              <w:left w:val="nil"/>
              <w:bottom w:val="single" w:color="auto" w:sz="4" w:space="0"/>
              <w:right w:val="single" w:color="auto" w:sz="4" w:space="0"/>
            </w:tcBorders>
            <w:vAlign w:val="center"/>
          </w:tcPr>
          <w:p w14:paraId="61B296A0">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7E55D1F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5FBD994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6EC1A3EB">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590291C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5E7F3366">
        <w:tblPrEx>
          <w:tblCellMar>
            <w:top w:w="0" w:type="dxa"/>
            <w:left w:w="108" w:type="dxa"/>
            <w:bottom w:w="0" w:type="dxa"/>
            <w:right w:w="108" w:type="dxa"/>
          </w:tblCellMar>
        </w:tblPrEx>
        <w:trPr>
          <w:cantSplit/>
          <w:trHeight w:val="280" w:hRule="atLeast"/>
        </w:trPr>
        <w:tc>
          <w:tcPr>
            <w:tcW w:w="709" w:type="dxa"/>
            <w:tcBorders>
              <w:top w:val="single" w:color="auto" w:sz="4" w:space="0"/>
              <w:left w:val="single" w:color="auto" w:sz="4" w:space="0"/>
              <w:bottom w:val="single" w:color="auto" w:sz="4" w:space="0"/>
              <w:right w:val="single" w:color="auto" w:sz="4" w:space="0"/>
            </w:tcBorders>
            <w:vAlign w:val="center"/>
          </w:tcPr>
          <w:p w14:paraId="4916B97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1276" w:type="dxa"/>
            <w:tcBorders>
              <w:top w:val="single" w:color="auto" w:sz="4" w:space="0"/>
              <w:left w:val="nil"/>
              <w:bottom w:val="single" w:color="auto" w:sz="4" w:space="0"/>
              <w:right w:val="single" w:color="auto" w:sz="4" w:space="0"/>
            </w:tcBorders>
            <w:vAlign w:val="center"/>
          </w:tcPr>
          <w:p w14:paraId="5DBA705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数字量输入模块</w:t>
            </w:r>
          </w:p>
        </w:tc>
        <w:tc>
          <w:tcPr>
            <w:tcW w:w="2114" w:type="dxa"/>
            <w:tcBorders>
              <w:top w:val="single" w:color="auto" w:sz="4" w:space="0"/>
              <w:left w:val="nil"/>
              <w:bottom w:val="single" w:color="auto" w:sz="4" w:space="0"/>
              <w:right w:val="single" w:color="auto" w:sz="4" w:space="0"/>
            </w:tcBorders>
            <w:vAlign w:val="center"/>
          </w:tcPr>
          <w:p w14:paraId="4925A955">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数字量</w:t>
            </w:r>
            <w:r>
              <w:rPr>
                <w:rFonts w:ascii="Times New Roman" w:hAnsi="Times New Roman" w:cs="Times New Roman"/>
                <w:color w:val="000000" w:themeColor="text1"/>
                <w:szCs w:val="21"/>
                <w:highlight w:val="none"/>
                <w14:textFill>
                  <w14:solidFill>
                    <w14:schemeClr w14:val="tx1"/>
                  </w14:solidFill>
                </w14:textFill>
              </w:rPr>
              <w:t>DC</w:t>
            </w:r>
            <w:r>
              <w:rPr>
                <w:rFonts w:ascii="Times New Roman" w:cs="Times New Roman" w:hAnsiTheme="minorEastAsia"/>
                <w:color w:val="000000" w:themeColor="text1"/>
                <w:szCs w:val="21"/>
                <w:highlight w:val="none"/>
                <w14:textFill>
                  <w14:solidFill>
                    <w14:schemeClr w14:val="tx1"/>
                  </w14:solidFill>
                </w14:textFill>
              </w:rPr>
              <w:t>输入模块，</w:t>
            </w:r>
            <w:r>
              <w:rPr>
                <w:rFonts w:ascii="Times New Roman" w:hAnsi="Times New Roman" w:cs="Times New Roman"/>
                <w:color w:val="000000" w:themeColor="text1"/>
                <w:szCs w:val="21"/>
                <w:highlight w:val="none"/>
                <w14:textFill>
                  <w14:solidFill>
                    <w14:schemeClr w14:val="tx1"/>
                  </w14:solidFill>
                </w14:textFill>
              </w:rPr>
              <w:t>32</w:t>
            </w:r>
            <w:r>
              <w:rPr>
                <w:rFonts w:ascii="Times New Roman" w:cs="Times New Roman" w:hAnsiTheme="minorEastAsia"/>
                <w:color w:val="000000" w:themeColor="text1"/>
                <w:szCs w:val="21"/>
                <w:highlight w:val="none"/>
                <w14:textFill>
                  <w14:solidFill>
                    <w14:schemeClr w14:val="tx1"/>
                  </w14:solidFill>
                </w14:textFill>
              </w:rPr>
              <w:t>点输入，</w:t>
            </w:r>
            <w:r>
              <w:rPr>
                <w:rFonts w:ascii="Times New Roman" w:hAnsi="Times New Roman" w:cs="Times New Roman"/>
                <w:color w:val="000000" w:themeColor="text1"/>
                <w:szCs w:val="21"/>
                <w:highlight w:val="none"/>
                <w14:textFill>
                  <w14:solidFill>
                    <w14:schemeClr w14:val="tx1"/>
                  </w14:solidFill>
                </w14:textFill>
              </w:rPr>
              <w:t>24VDC</w:t>
            </w:r>
          </w:p>
        </w:tc>
        <w:tc>
          <w:tcPr>
            <w:tcW w:w="863" w:type="dxa"/>
            <w:tcBorders>
              <w:top w:val="single" w:color="auto" w:sz="4" w:space="0"/>
              <w:left w:val="nil"/>
              <w:bottom w:val="single" w:color="auto" w:sz="4" w:space="0"/>
              <w:right w:val="single" w:color="auto" w:sz="4" w:space="0"/>
            </w:tcBorders>
            <w:vAlign w:val="center"/>
          </w:tcPr>
          <w:p w14:paraId="635A3C0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vAlign w:val="center"/>
          </w:tcPr>
          <w:p w14:paraId="3939F9E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6</w:t>
            </w:r>
          </w:p>
        </w:tc>
        <w:tc>
          <w:tcPr>
            <w:tcW w:w="1276" w:type="dxa"/>
            <w:tcBorders>
              <w:top w:val="single" w:color="auto" w:sz="4" w:space="0"/>
              <w:left w:val="nil"/>
              <w:bottom w:val="single" w:color="auto" w:sz="4" w:space="0"/>
              <w:right w:val="single" w:color="auto" w:sz="4" w:space="0"/>
            </w:tcBorders>
            <w:noWrap/>
            <w:vAlign w:val="bottom"/>
          </w:tcPr>
          <w:p w14:paraId="36296CBB">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5B4BD3F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24040B88">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45E08EFA">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0006115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005D48B5">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数字量输出模块</w:t>
            </w:r>
          </w:p>
        </w:tc>
        <w:tc>
          <w:tcPr>
            <w:tcW w:w="2114" w:type="dxa"/>
            <w:tcBorders>
              <w:top w:val="nil"/>
              <w:left w:val="nil"/>
              <w:bottom w:val="single" w:color="auto" w:sz="4" w:space="0"/>
              <w:right w:val="single" w:color="auto" w:sz="4" w:space="0"/>
            </w:tcBorders>
            <w:vAlign w:val="center"/>
          </w:tcPr>
          <w:p w14:paraId="3B9E1CEA">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数字量</w:t>
            </w:r>
            <w:r>
              <w:rPr>
                <w:rFonts w:ascii="Times New Roman" w:hAnsi="Times New Roman" w:cs="Times New Roman"/>
                <w:color w:val="000000" w:themeColor="text1"/>
                <w:szCs w:val="21"/>
                <w:highlight w:val="none"/>
                <w14:textFill>
                  <w14:solidFill>
                    <w14:schemeClr w14:val="tx1"/>
                  </w14:solidFill>
                </w14:textFill>
              </w:rPr>
              <w:t>DC</w:t>
            </w:r>
            <w:r>
              <w:rPr>
                <w:rFonts w:ascii="Times New Roman" w:cs="Times New Roman" w:hAnsiTheme="minorEastAsia"/>
                <w:color w:val="000000" w:themeColor="text1"/>
                <w:szCs w:val="21"/>
                <w:highlight w:val="none"/>
                <w14:textFill>
                  <w14:solidFill>
                    <w14:schemeClr w14:val="tx1"/>
                  </w14:solidFill>
                </w14:textFill>
              </w:rPr>
              <w:t>输出模块，</w:t>
            </w:r>
            <w:r>
              <w:rPr>
                <w:rFonts w:ascii="Times New Roman" w:hAnsi="Times New Roman" w:cs="Times New Roman"/>
                <w:color w:val="000000" w:themeColor="text1"/>
                <w:szCs w:val="21"/>
                <w:highlight w:val="none"/>
                <w14:textFill>
                  <w14:solidFill>
                    <w14:schemeClr w14:val="tx1"/>
                  </w14:solidFill>
                </w14:textFill>
              </w:rPr>
              <w:t>32</w:t>
            </w:r>
            <w:r>
              <w:rPr>
                <w:rFonts w:ascii="Times New Roman" w:cs="Times New Roman" w:hAnsiTheme="minorEastAsia"/>
                <w:color w:val="000000" w:themeColor="text1"/>
                <w:szCs w:val="21"/>
                <w:highlight w:val="none"/>
                <w14:textFill>
                  <w14:solidFill>
                    <w14:schemeClr w14:val="tx1"/>
                  </w14:solidFill>
                </w14:textFill>
              </w:rPr>
              <w:t>点输出</w:t>
            </w:r>
            <w:r>
              <w:rPr>
                <w:rFonts w:ascii="Times New Roman" w:hAnsi="Times New Roman" w:cs="Times New Roman"/>
                <w:color w:val="000000" w:themeColor="text1"/>
                <w:szCs w:val="21"/>
                <w:highlight w:val="none"/>
                <w14:textFill>
                  <w14:solidFill>
                    <w14:schemeClr w14:val="tx1"/>
                  </w14:solidFill>
                </w14:textFill>
              </w:rPr>
              <w:t>24VDC</w:t>
            </w:r>
            <w:r>
              <w:rPr>
                <w:rFonts w:ascii="Times New Roman" w:cs="Times New Roman" w:hAnsiTheme="minorEastAsia"/>
                <w:color w:val="000000" w:themeColor="text1"/>
                <w:szCs w:val="21"/>
                <w:highlight w:val="none"/>
                <w14:textFill>
                  <w14:solidFill>
                    <w14:schemeClr w14:val="tx1"/>
                  </w14:solidFill>
                </w14:textFill>
              </w:rPr>
              <w:t>晶体管</w:t>
            </w:r>
          </w:p>
        </w:tc>
        <w:tc>
          <w:tcPr>
            <w:tcW w:w="863" w:type="dxa"/>
            <w:tcBorders>
              <w:top w:val="nil"/>
              <w:left w:val="nil"/>
              <w:bottom w:val="single" w:color="auto" w:sz="4" w:space="0"/>
              <w:right w:val="single" w:color="auto" w:sz="4" w:space="0"/>
            </w:tcBorders>
            <w:vAlign w:val="center"/>
          </w:tcPr>
          <w:p w14:paraId="74A0C88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71920EF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noWrap/>
            <w:vAlign w:val="bottom"/>
          </w:tcPr>
          <w:p w14:paraId="6393E6E7">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00083E8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7855A43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E92B00C">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5C3B21E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vAlign w:val="center"/>
          </w:tcPr>
          <w:p w14:paraId="73F71A77">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模拟量输入模块</w:t>
            </w:r>
          </w:p>
        </w:tc>
        <w:tc>
          <w:tcPr>
            <w:tcW w:w="2114" w:type="dxa"/>
            <w:tcBorders>
              <w:top w:val="nil"/>
              <w:left w:val="nil"/>
              <w:bottom w:val="single" w:color="auto" w:sz="4" w:space="0"/>
              <w:right w:val="single" w:color="auto" w:sz="4" w:space="0"/>
            </w:tcBorders>
            <w:vAlign w:val="center"/>
          </w:tcPr>
          <w:p w14:paraId="5EC9E5E6">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模拟量输入模块</w:t>
            </w:r>
            <w:r>
              <w:rPr>
                <w:rFonts w:ascii="Times New Roman" w:hAnsi="Times New Roman" w:cs="Times New Roman"/>
                <w:color w:val="000000" w:themeColor="text1"/>
                <w:szCs w:val="21"/>
                <w:highlight w:val="none"/>
                <w14:textFill>
                  <w14:solidFill>
                    <w14:schemeClr w14:val="tx1"/>
                  </w14:solidFill>
                </w14:textFill>
              </w:rPr>
              <w:t>8</w:t>
            </w:r>
            <w:r>
              <w:rPr>
                <w:rFonts w:ascii="Times New Roman" w:cs="Times New Roman" w:hAnsiTheme="minorEastAsia"/>
                <w:color w:val="000000" w:themeColor="text1"/>
                <w:szCs w:val="21"/>
                <w:highlight w:val="none"/>
                <w14:textFill>
                  <w14:solidFill>
                    <w14:schemeClr w14:val="tx1"/>
                  </w14:solidFill>
                </w14:textFill>
              </w:rPr>
              <w:t>通道</w:t>
            </w:r>
          </w:p>
        </w:tc>
        <w:tc>
          <w:tcPr>
            <w:tcW w:w="863" w:type="dxa"/>
            <w:tcBorders>
              <w:top w:val="nil"/>
              <w:left w:val="nil"/>
              <w:bottom w:val="single" w:color="auto" w:sz="4" w:space="0"/>
              <w:right w:val="single" w:color="auto" w:sz="4" w:space="0"/>
            </w:tcBorders>
            <w:vAlign w:val="center"/>
          </w:tcPr>
          <w:p w14:paraId="6D5EC14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4ACF07D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noWrap/>
            <w:vAlign w:val="bottom"/>
          </w:tcPr>
          <w:p w14:paraId="7E7EEB9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16AEA06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BDFB0B0">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5E5EE369">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404EF8A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w:t>
            </w:r>
          </w:p>
        </w:tc>
        <w:tc>
          <w:tcPr>
            <w:tcW w:w="1276" w:type="dxa"/>
            <w:tcBorders>
              <w:top w:val="nil"/>
              <w:left w:val="nil"/>
              <w:bottom w:val="single" w:color="auto" w:sz="4" w:space="0"/>
              <w:right w:val="single" w:color="auto" w:sz="4" w:space="0"/>
            </w:tcBorders>
            <w:vAlign w:val="center"/>
          </w:tcPr>
          <w:p w14:paraId="42376335">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电源模块</w:t>
            </w:r>
          </w:p>
        </w:tc>
        <w:tc>
          <w:tcPr>
            <w:tcW w:w="2114" w:type="dxa"/>
            <w:tcBorders>
              <w:top w:val="nil"/>
              <w:left w:val="nil"/>
              <w:bottom w:val="single" w:color="auto" w:sz="4" w:space="0"/>
              <w:right w:val="single" w:color="auto" w:sz="4" w:space="0"/>
            </w:tcBorders>
            <w:vAlign w:val="center"/>
          </w:tcPr>
          <w:p w14:paraId="631B9D4C">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功率：</w:t>
            </w:r>
            <w:r>
              <w:rPr>
                <w:rFonts w:ascii="Times New Roman" w:hAnsi="Times New Roman" w:cs="Times New Roman"/>
                <w:color w:val="000000" w:themeColor="text1"/>
                <w:szCs w:val="21"/>
                <w:highlight w:val="none"/>
                <w14:textFill>
                  <w14:solidFill>
                    <w14:schemeClr w14:val="tx1"/>
                  </w14:solidFill>
                </w14:textFill>
              </w:rPr>
              <w:t>100WDC24V</w:t>
            </w:r>
            <w:r>
              <w:rPr>
                <w:rFonts w:ascii="Times New Roman" w:cs="Times New Roman" w:hAnsiTheme="minorEastAsia"/>
                <w:color w:val="000000" w:themeColor="text1"/>
                <w:szCs w:val="21"/>
                <w:highlight w:val="none"/>
                <w14:textFill>
                  <w14:solidFill>
                    <w14:schemeClr w14:val="tx1"/>
                  </w14:solidFill>
                </w14:textFill>
              </w:rPr>
              <w:t>输入</w:t>
            </w:r>
          </w:p>
        </w:tc>
        <w:tc>
          <w:tcPr>
            <w:tcW w:w="863" w:type="dxa"/>
            <w:tcBorders>
              <w:top w:val="nil"/>
              <w:left w:val="nil"/>
              <w:bottom w:val="single" w:color="auto" w:sz="4" w:space="0"/>
              <w:right w:val="single" w:color="auto" w:sz="4" w:space="0"/>
            </w:tcBorders>
            <w:vAlign w:val="center"/>
          </w:tcPr>
          <w:p w14:paraId="2858516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2450ECE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4E947C32">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1490B07D">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E02412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76B254E2">
        <w:tblPrEx>
          <w:tblCellMar>
            <w:top w:w="0" w:type="dxa"/>
            <w:left w:w="108" w:type="dxa"/>
            <w:bottom w:w="0" w:type="dxa"/>
            <w:right w:w="108" w:type="dxa"/>
          </w:tblCellMar>
        </w:tblPrEx>
        <w:trPr>
          <w:cantSplit/>
          <w:trHeight w:val="386" w:hRule="atLeast"/>
        </w:trPr>
        <w:tc>
          <w:tcPr>
            <w:tcW w:w="709" w:type="dxa"/>
            <w:tcBorders>
              <w:top w:val="single" w:color="auto" w:sz="4" w:space="0"/>
              <w:left w:val="single" w:color="auto" w:sz="4" w:space="0"/>
              <w:bottom w:val="single" w:color="auto" w:sz="4" w:space="0"/>
              <w:right w:val="single" w:color="auto" w:sz="4" w:space="0"/>
            </w:tcBorders>
            <w:vAlign w:val="center"/>
          </w:tcPr>
          <w:p w14:paraId="00F48D3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6</w:t>
            </w:r>
          </w:p>
        </w:tc>
        <w:tc>
          <w:tcPr>
            <w:tcW w:w="1276" w:type="dxa"/>
            <w:tcBorders>
              <w:top w:val="single" w:color="auto" w:sz="4" w:space="0"/>
              <w:left w:val="nil"/>
              <w:bottom w:val="single" w:color="auto" w:sz="4" w:space="0"/>
              <w:right w:val="single" w:color="auto" w:sz="4" w:space="0"/>
            </w:tcBorders>
            <w:vAlign w:val="center"/>
          </w:tcPr>
          <w:p w14:paraId="277071E5">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背板</w:t>
            </w:r>
          </w:p>
        </w:tc>
        <w:tc>
          <w:tcPr>
            <w:tcW w:w="2114" w:type="dxa"/>
            <w:tcBorders>
              <w:top w:val="single" w:color="auto" w:sz="4" w:space="0"/>
              <w:left w:val="nil"/>
              <w:bottom w:val="single" w:color="auto" w:sz="4" w:space="0"/>
              <w:right w:val="single" w:color="auto" w:sz="4" w:space="0"/>
            </w:tcBorders>
            <w:vAlign w:val="center"/>
          </w:tcPr>
          <w:p w14:paraId="1E36F9E7">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不低于</w:t>
            </w:r>
            <w:r>
              <w:rPr>
                <w:rFonts w:ascii="Times New Roman" w:hAnsi="Times New Roman" w:cs="Times New Roman"/>
                <w:color w:val="000000" w:themeColor="text1"/>
                <w:szCs w:val="21"/>
                <w:highlight w:val="none"/>
                <w14:textFill>
                  <w14:solidFill>
                    <w14:schemeClr w14:val="tx1"/>
                  </w14:solidFill>
                </w14:textFill>
              </w:rPr>
              <w:t>16</w:t>
            </w:r>
            <w:r>
              <w:rPr>
                <w:rFonts w:ascii="Times New Roman" w:cs="Times New Roman" w:hAnsiTheme="minorEastAsia"/>
                <w:color w:val="000000" w:themeColor="text1"/>
                <w:szCs w:val="21"/>
                <w:highlight w:val="none"/>
                <w14:textFill>
                  <w14:solidFill>
                    <w14:schemeClr w14:val="tx1"/>
                  </w14:solidFill>
                </w14:textFill>
              </w:rPr>
              <w:t>槽背板</w:t>
            </w:r>
          </w:p>
        </w:tc>
        <w:tc>
          <w:tcPr>
            <w:tcW w:w="863" w:type="dxa"/>
            <w:tcBorders>
              <w:top w:val="single" w:color="auto" w:sz="4" w:space="0"/>
              <w:left w:val="nil"/>
              <w:bottom w:val="single" w:color="auto" w:sz="4" w:space="0"/>
              <w:right w:val="single" w:color="auto" w:sz="4" w:space="0"/>
            </w:tcBorders>
            <w:vAlign w:val="center"/>
          </w:tcPr>
          <w:p w14:paraId="64AC3B7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vAlign w:val="center"/>
          </w:tcPr>
          <w:p w14:paraId="5815A5C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noWrap/>
            <w:vAlign w:val="bottom"/>
          </w:tcPr>
          <w:p w14:paraId="7BB3FDF9">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1DE6F36D">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3F0D9A8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0CD6E0D0">
        <w:tblPrEx>
          <w:tblCellMar>
            <w:top w:w="0" w:type="dxa"/>
            <w:left w:w="108" w:type="dxa"/>
            <w:bottom w:w="0" w:type="dxa"/>
            <w:right w:w="108" w:type="dxa"/>
          </w:tblCellMar>
        </w:tblPrEx>
        <w:trPr>
          <w:cantSplit/>
          <w:trHeight w:val="447" w:hRule="atLeast"/>
        </w:trPr>
        <w:tc>
          <w:tcPr>
            <w:tcW w:w="709" w:type="dxa"/>
            <w:tcBorders>
              <w:top w:val="nil"/>
              <w:left w:val="single" w:color="auto" w:sz="4" w:space="0"/>
              <w:bottom w:val="single" w:color="auto" w:sz="4" w:space="0"/>
              <w:right w:val="single" w:color="auto" w:sz="4" w:space="0"/>
            </w:tcBorders>
            <w:vAlign w:val="center"/>
          </w:tcPr>
          <w:p w14:paraId="60D345D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7</w:t>
            </w:r>
          </w:p>
        </w:tc>
        <w:tc>
          <w:tcPr>
            <w:tcW w:w="1276" w:type="dxa"/>
            <w:tcBorders>
              <w:top w:val="nil"/>
              <w:left w:val="nil"/>
              <w:bottom w:val="single" w:color="auto" w:sz="4" w:space="0"/>
              <w:right w:val="single" w:color="auto" w:sz="4" w:space="0"/>
            </w:tcBorders>
            <w:vAlign w:val="center"/>
          </w:tcPr>
          <w:p w14:paraId="1B441AC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空槽模件</w:t>
            </w:r>
          </w:p>
        </w:tc>
        <w:tc>
          <w:tcPr>
            <w:tcW w:w="2114" w:type="dxa"/>
            <w:tcBorders>
              <w:top w:val="nil"/>
              <w:left w:val="nil"/>
              <w:bottom w:val="single" w:color="auto" w:sz="4" w:space="0"/>
              <w:right w:val="single" w:color="auto" w:sz="4" w:space="0"/>
            </w:tcBorders>
            <w:vAlign w:val="center"/>
          </w:tcPr>
          <w:p w14:paraId="1494FD03">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空槽模件，按需配置</w:t>
            </w:r>
          </w:p>
        </w:tc>
        <w:tc>
          <w:tcPr>
            <w:tcW w:w="863" w:type="dxa"/>
            <w:tcBorders>
              <w:top w:val="nil"/>
              <w:left w:val="nil"/>
              <w:bottom w:val="single" w:color="auto" w:sz="4" w:space="0"/>
              <w:right w:val="single" w:color="auto" w:sz="4" w:space="0"/>
            </w:tcBorders>
            <w:vAlign w:val="center"/>
          </w:tcPr>
          <w:p w14:paraId="1364E87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47E2C42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60DB8C3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7317339F">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64992A3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3B5BBA4C">
        <w:tblPrEx>
          <w:tblCellMar>
            <w:top w:w="0" w:type="dxa"/>
            <w:left w:w="108" w:type="dxa"/>
            <w:bottom w:w="0" w:type="dxa"/>
            <w:right w:w="108" w:type="dxa"/>
          </w:tblCellMar>
        </w:tblPrEx>
        <w:trPr>
          <w:cantSplit/>
          <w:trHeight w:val="780" w:hRule="atLeast"/>
        </w:trPr>
        <w:tc>
          <w:tcPr>
            <w:tcW w:w="709" w:type="dxa"/>
            <w:tcBorders>
              <w:top w:val="nil"/>
              <w:left w:val="single" w:color="auto" w:sz="4" w:space="0"/>
              <w:bottom w:val="single" w:color="auto" w:sz="4" w:space="0"/>
              <w:right w:val="single" w:color="auto" w:sz="4" w:space="0"/>
            </w:tcBorders>
            <w:vAlign w:val="center"/>
          </w:tcPr>
          <w:p w14:paraId="6A147DB6">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8</w:t>
            </w:r>
          </w:p>
        </w:tc>
        <w:tc>
          <w:tcPr>
            <w:tcW w:w="1276" w:type="dxa"/>
            <w:tcBorders>
              <w:top w:val="nil"/>
              <w:left w:val="nil"/>
              <w:bottom w:val="single" w:color="auto" w:sz="4" w:space="0"/>
              <w:right w:val="single" w:color="auto" w:sz="4" w:space="0"/>
            </w:tcBorders>
            <w:vAlign w:val="center"/>
          </w:tcPr>
          <w:p w14:paraId="49B5FAB1">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触摸屏</w:t>
            </w:r>
          </w:p>
        </w:tc>
        <w:tc>
          <w:tcPr>
            <w:tcW w:w="2114" w:type="dxa"/>
            <w:tcBorders>
              <w:top w:val="nil"/>
              <w:left w:val="nil"/>
              <w:bottom w:val="single" w:color="auto" w:sz="4" w:space="0"/>
              <w:right w:val="single" w:color="auto" w:sz="4" w:space="0"/>
            </w:tcBorders>
            <w:vAlign w:val="center"/>
          </w:tcPr>
          <w:p w14:paraId="42F5F061">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采用</w:t>
            </w:r>
            <w:r>
              <w:rPr>
                <w:rFonts w:ascii="Times New Roman" w:hAnsi="Times New Roman" w:cs="Times New Roman"/>
                <w:color w:val="000000" w:themeColor="text1"/>
                <w:szCs w:val="21"/>
                <w:highlight w:val="none"/>
                <w14:textFill>
                  <w14:solidFill>
                    <w14:schemeClr w14:val="tx1"/>
                  </w14:solidFill>
                </w14:textFill>
              </w:rPr>
              <w:t>≥15</w:t>
            </w:r>
            <w:r>
              <w:rPr>
                <w:rFonts w:ascii="Times New Roman" w:cs="Times New Roman" w:hAnsiTheme="minorEastAsia"/>
                <w:color w:val="000000" w:themeColor="text1"/>
                <w:szCs w:val="21"/>
                <w:highlight w:val="none"/>
                <w14:textFill>
                  <w14:solidFill>
                    <w14:schemeClr w14:val="tx1"/>
                  </w14:solidFill>
                </w14:textFill>
              </w:rPr>
              <w:t>寸</w:t>
            </w:r>
            <w:r>
              <w:rPr>
                <w:rFonts w:ascii="Times New Roman" w:hAnsi="Times New Roman" w:cs="Times New Roman"/>
                <w:color w:val="000000" w:themeColor="text1"/>
                <w:szCs w:val="21"/>
                <w:highlight w:val="none"/>
                <w14:textFill>
                  <w14:solidFill>
                    <w14:schemeClr w14:val="tx1"/>
                  </w14:solidFill>
                </w14:textFill>
              </w:rPr>
              <w:t xml:space="preserve"> 16:9 TFT LCD</w:t>
            </w:r>
            <w:r>
              <w:rPr>
                <w:rFonts w:ascii="Times New Roman" w:cs="Times New Roman" w:hAnsiTheme="minorEastAsia"/>
                <w:color w:val="000000" w:themeColor="text1"/>
                <w:szCs w:val="21"/>
                <w:highlight w:val="none"/>
                <w14:textFill>
                  <w14:solidFill>
                    <w14:schemeClr w14:val="tx1"/>
                  </w14:solidFill>
                </w14:textFill>
              </w:rPr>
              <w:t>触摸屏，分辨率</w:t>
            </w:r>
            <w:r>
              <w:rPr>
                <w:rFonts w:ascii="Times New Roman" w:hAnsi="Times New Roman" w:cs="Times New Roman"/>
                <w:color w:val="000000" w:themeColor="text1"/>
                <w:szCs w:val="21"/>
                <w:highlight w:val="none"/>
                <w14:textFill>
                  <w14:solidFill>
                    <w14:schemeClr w14:val="tx1"/>
                  </w14:solidFill>
                </w14:textFill>
              </w:rPr>
              <w:t>1920×1080</w:t>
            </w:r>
            <w:r>
              <w:rPr>
                <w:rFonts w:ascii="Times New Roman" w:cs="Times New Roman" w:hAnsiTheme="minorEastAsia"/>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 xml:space="preserve">≥1 </w:t>
            </w:r>
            <w:r>
              <w:rPr>
                <w:rFonts w:ascii="Times New Roman" w:cs="Times New Roman" w:hAnsiTheme="minorEastAsia"/>
                <w:color w:val="000000" w:themeColor="text1"/>
                <w:szCs w:val="21"/>
                <w:highlight w:val="none"/>
                <w14:textFill>
                  <w14:solidFill>
                    <w14:schemeClr w14:val="tx1"/>
                  </w14:solidFill>
                </w14:textFill>
              </w:rPr>
              <w:t>路</w:t>
            </w:r>
            <w:r>
              <w:rPr>
                <w:rFonts w:ascii="Times New Roman" w:hAnsi="Times New Roman" w:cs="Times New Roman"/>
                <w:color w:val="000000" w:themeColor="text1"/>
                <w:szCs w:val="21"/>
                <w:highlight w:val="none"/>
                <w14:textFill>
                  <w14:solidFill>
                    <w14:schemeClr w14:val="tx1"/>
                  </w14:solidFill>
                </w14:textFill>
              </w:rPr>
              <w:t xml:space="preserve"> 10M/100M </w:t>
            </w:r>
            <w:r>
              <w:rPr>
                <w:rFonts w:ascii="Times New Roman" w:cs="Times New Roman" w:hAnsiTheme="minorEastAsia"/>
                <w:color w:val="000000" w:themeColor="text1"/>
                <w:szCs w:val="21"/>
                <w:highlight w:val="none"/>
                <w14:textFill>
                  <w14:solidFill>
                    <w14:schemeClr w14:val="tx1"/>
                  </w14:solidFill>
                </w14:textFill>
              </w:rPr>
              <w:t>自适应以太网接口，</w:t>
            </w:r>
            <w:r>
              <w:rPr>
                <w:rFonts w:ascii="Times New Roman" w:hAnsi="Times New Roman" w:cs="Times New Roman"/>
                <w:color w:val="000000" w:themeColor="text1"/>
                <w:szCs w:val="21"/>
                <w:highlight w:val="none"/>
                <w14:textFill>
                  <w14:solidFill>
                    <w14:schemeClr w14:val="tx1"/>
                  </w14:solidFill>
                </w14:textFill>
              </w:rPr>
              <w:t xml:space="preserve">≥1 </w:t>
            </w:r>
            <w:r>
              <w:rPr>
                <w:rFonts w:ascii="Times New Roman" w:cs="Times New Roman" w:hAnsiTheme="minorEastAsia"/>
                <w:color w:val="000000" w:themeColor="text1"/>
                <w:szCs w:val="21"/>
                <w:highlight w:val="none"/>
                <w14:textFill>
                  <w14:solidFill>
                    <w14:schemeClr w14:val="tx1"/>
                  </w14:solidFill>
                </w14:textFill>
              </w:rPr>
              <w:t>路串行通讯接口，工作温度</w:t>
            </w:r>
            <w:r>
              <w:rPr>
                <w:rFonts w:ascii="Times New Roman" w:hAnsi="Times New Roman" w:cs="Times New Roman"/>
                <w:color w:val="000000" w:themeColor="text1"/>
                <w:szCs w:val="21"/>
                <w:highlight w:val="none"/>
                <w14:textFill>
                  <w14:solidFill>
                    <w14:schemeClr w14:val="tx1"/>
                  </w14:solidFill>
                </w14:textFill>
              </w:rPr>
              <w:t>0~50℃</w:t>
            </w:r>
            <w:r>
              <w:rPr>
                <w:rFonts w:ascii="Times New Roman" w:cs="Times New Roman" w:hAnsiTheme="minorEastAsia"/>
                <w:color w:val="000000" w:themeColor="text1"/>
                <w:szCs w:val="21"/>
                <w:highlight w:val="none"/>
                <w14:textFill>
                  <w14:solidFill>
                    <w14:schemeClr w14:val="tx1"/>
                  </w14:solidFill>
                </w14:textFill>
              </w:rPr>
              <w:t>，触摸屏前面板符合</w:t>
            </w:r>
            <w:r>
              <w:rPr>
                <w:rFonts w:ascii="Times New Roman" w:hAnsi="Times New Roman" w:cs="Times New Roman"/>
                <w:color w:val="000000" w:themeColor="text1"/>
                <w:szCs w:val="21"/>
                <w:highlight w:val="none"/>
                <w14:textFill>
                  <w14:solidFill>
                    <w14:schemeClr w14:val="tx1"/>
                  </w14:solidFill>
                </w14:textFill>
              </w:rPr>
              <w:t xml:space="preserve"> IP65</w:t>
            </w:r>
            <w:r>
              <w:rPr>
                <w:rFonts w:ascii="Times New Roman" w:cs="Times New Roman" w:hAnsiTheme="minorEastAsia"/>
                <w:color w:val="000000" w:themeColor="text1"/>
                <w:szCs w:val="21"/>
                <w:highlight w:val="none"/>
                <w14:textFill>
                  <w14:solidFill>
                    <w14:schemeClr w14:val="tx1"/>
                  </w14:solidFill>
                </w14:textFill>
              </w:rPr>
              <w:t>，机身后壳符合</w:t>
            </w:r>
            <w:r>
              <w:rPr>
                <w:rFonts w:ascii="Times New Roman" w:hAnsi="Times New Roman" w:cs="Times New Roman"/>
                <w:color w:val="000000" w:themeColor="text1"/>
                <w:szCs w:val="21"/>
                <w:highlight w:val="none"/>
                <w14:textFill>
                  <w14:solidFill>
                    <w14:schemeClr w14:val="tx1"/>
                  </w14:solidFill>
                </w14:textFill>
              </w:rPr>
              <w:t>IP20</w:t>
            </w:r>
            <w:r>
              <w:rPr>
                <w:rFonts w:ascii="Times New Roman" w:cs="Times New Roman" w:hAnsiTheme="minorEastAsia"/>
                <w:color w:val="000000" w:themeColor="text1"/>
                <w:szCs w:val="21"/>
                <w:highlight w:val="none"/>
                <w14:textFill>
                  <w14:solidFill>
                    <w14:schemeClr w14:val="tx1"/>
                  </w14:solidFill>
                </w14:textFill>
              </w:rPr>
              <w:t>。</w:t>
            </w:r>
          </w:p>
        </w:tc>
        <w:tc>
          <w:tcPr>
            <w:tcW w:w="863" w:type="dxa"/>
            <w:tcBorders>
              <w:top w:val="nil"/>
              <w:left w:val="nil"/>
              <w:bottom w:val="single" w:color="auto" w:sz="4" w:space="0"/>
              <w:right w:val="single" w:color="auto" w:sz="4" w:space="0"/>
            </w:tcBorders>
            <w:vAlign w:val="center"/>
          </w:tcPr>
          <w:p w14:paraId="79BD205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659229E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7472E007">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77867C5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11A017DD">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7997991E">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3FC51B0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9</w:t>
            </w:r>
          </w:p>
        </w:tc>
        <w:tc>
          <w:tcPr>
            <w:tcW w:w="1276" w:type="dxa"/>
            <w:tcBorders>
              <w:top w:val="nil"/>
              <w:left w:val="nil"/>
              <w:bottom w:val="single" w:color="auto" w:sz="4" w:space="0"/>
              <w:right w:val="single" w:color="auto" w:sz="4" w:space="0"/>
            </w:tcBorders>
            <w:vAlign w:val="center"/>
          </w:tcPr>
          <w:p w14:paraId="09AD5B12">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网络设备</w:t>
            </w:r>
          </w:p>
        </w:tc>
        <w:tc>
          <w:tcPr>
            <w:tcW w:w="2114" w:type="dxa"/>
            <w:tcBorders>
              <w:top w:val="nil"/>
              <w:left w:val="nil"/>
              <w:bottom w:val="single" w:color="auto" w:sz="4" w:space="0"/>
              <w:right w:val="single" w:color="auto" w:sz="4" w:space="0"/>
            </w:tcBorders>
            <w:vAlign w:val="center"/>
          </w:tcPr>
          <w:p w14:paraId="02570067">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工业级机架式，</w:t>
            </w:r>
            <w:r>
              <w:rPr>
                <w:rFonts w:ascii="Times New Roman" w:hAnsi="Times New Roman" w:cs="Times New Roman"/>
                <w:color w:val="000000" w:themeColor="text1"/>
                <w:szCs w:val="21"/>
                <w:highlight w:val="none"/>
                <w14:textFill>
                  <w14:solidFill>
                    <w14:schemeClr w14:val="tx1"/>
                  </w14:solidFill>
                </w14:textFill>
              </w:rPr>
              <w:t xml:space="preserve"> 24 </w:t>
            </w:r>
            <w:r>
              <w:rPr>
                <w:rFonts w:ascii="Times New Roman" w:cs="Times New Roman" w:hAnsiTheme="minorEastAsia"/>
                <w:color w:val="000000" w:themeColor="text1"/>
                <w:szCs w:val="21"/>
                <w:highlight w:val="none"/>
                <w14:textFill>
                  <w14:solidFill>
                    <w14:schemeClr w14:val="tx1"/>
                  </w14:solidFill>
                </w14:textFill>
              </w:rPr>
              <w:t>千兆电口、</w:t>
            </w:r>
            <w:r>
              <w:rPr>
                <w:rFonts w:ascii="Times New Roman" w:hAnsi="Times New Roman" w:cs="Times New Roman"/>
                <w:color w:val="000000" w:themeColor="text1"/>
                <w:szCs w:val="21"/>
                <w:highlight w:val="none"/>
                <w14:textFill>
                  <w14:solidFill>
                    <w14:schemeClr w14:val="tx1"/>
                  </w14:solidFill>
                </w14:textFill>
              </w:rPr>
              <w:t xml:space="preserve">4 </w:t>
            </w:r>
            <w:r>
              <w:rPr>
                <w:rFonts w:ascii="Times New Roman" w:cs="Times New Roman" w:hAnsiTheme="minorEastAsia"/>
                <w:color w:val="000000" w:themeColor="text1"/>
                <w:szCs w:val="21"/>
                <w:highlight w:val="none"/>
                <w14:textFill>
                  <w14:solidFill>
                    <w14:schemeClr w14:val="tx1"/>
                  </w14:solidFill>
                </w14:textFill>
              </w:rPr>
              <w:t>千兆光口</w:t>
            </w:r>
          </w:p>
        </w:tc>
        <w:tc>
          <w:tcPr>
            <w:tcW w:w="863" w:type="dxa"/>
            <w:tcBorders>
              <w:top w:val="nil"/>
              <w:left w:val="nil"/>
              <w:bottom w:val="single" w:color="auto" w:sz="4" w:space="0"/>
              <w:right w:val="single" w:color="auto" w:sz="4" w:space="0"/>
            </w:tcBorders>
            <w:vAlign w:val="center"/>
          </w:tcPr>
          <w:p w14:paraId="3841B4E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vAlign w:val="center"/>
          </w:tcPr>
          <w:p w14:paraId="4E3D5F9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70B79F7B">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6C92AF30">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04FC7CB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35CD43E9">
        <w:tblPrEx>
          <w:tblCellMar>
            <w:top w:w="0" w:type="dxa"/>
            <w:left w:w="108" w:type="dxa"/>
            <w:bottom w:w="0" w:type="dxa"/>
            <w:right w:w="108" w:type="dxa"/>
          </w:tblCellMar>
        </w:tblPrEx>
        <w:trPr>
          <w:cantSplit/>
          <w:trHeight w:val="520" w:hRule="atLeast"/>
        </w:trPr>
        <w:tc>
          <w:tcPr>
            <w:tcW w:w="709" w:type="dxa"/>
            <w:tcBorders>
              <w:top w:val="single" w:color="auto" w:sz="4" w:space="0"/>
              <w:left w:val="single" w:color="auto" w:sz="4" w:space="0"/>
              <w:bottom w:val="single" w:color="auto" w:sz="4" w:space="0"/>
              <w:right w:val="single" w:color="auto" w:sz="4" w:space="0"/>
            </w:tcBorders>
            <w:vAlign w:val="center"/>
          </w:tcPr>
          <w:p w14:paraId="0A787E7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10</w:t>
            </w:r>
          </w:p>
        </w:tc>
        <w:tc>
          <w:tcPr>
            <w:tcW w:w="1276" w:type="dxa"/>
            <w:tcBorders>
              <w:top w:val="single" w:color="auto" w:sz="4" w:space="0"/>
              <w:left w:val="nil"/>
              <w:bottom w:val="single" w:color="auto" w:sz="4" w:space="0"/>
              <w:right w:val="single" w:color="auto" w:sz="4" w:space="0"/>
            </w:tcBorders>
            <w:vAlign w:val="center"/>
          </w:tcPr>
          <w:p w14:paraId="474EE48F">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屏体</w:t>
            </w:r>
          </w:p>
        </w:tc>
        <w:tc>
          <w:tcPr>
            <w:tcW w:w="2114" w:type="dxa"/>
            <w:tcBorders>
              <w:top w:val="single" w:color="auto" w:sz="4" w:space="0"/>
              <w:left w:val="nil"/>
              <w:bottom w:val="single" w:color="auto" w:sz="4" w:space="0"/>
              <w:right w:val="single" w:color="auto" w:sz="4" w:space="0"/>
            </w:tcBorders>
            <w:vAlign w:val="center"/>
          </w:tcPr>
          <w:p w14:paraId="42C7AAAA">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2260*800*600mm</w:t>
            </w:r>
            <w:r>
              <w:rPr>
                <w:rFonts w:ascii="Times New Roman" w:cs="Times New Roman" w:hAnsiTheme="minorEastAsia"/>
                <w:color w:val="000000" w:themeColor="text1"/>
                <w:szCs w:val="21"/>
                <w:highlight w:val="none"/>
                <w14:textFill>
                  <w14:solidFill>
                    <w14:schemeClr w14:val="tx1"/>
                  </w14:solidFill>
                </w14:textFill>
              </w:rPr>
              <w:t>，继电器、空开、开关电源、端子排、照明、温湿度控制等。</w:t>
            </w:r>
          </w:p>
        </w:tc>
        <w:tc>
          <w:tcPr>
            <w:tcW w:w="863" w:type="dxa"/>
            <w:tcBorders>
              <w:top w:val="single" w:color="auto" w:sz="4" w:space="0"/>
              <w:left w:val="nil"/>
              <w:bottom w:val="single" w:color="auto" w:sz="4" w:space="0"/>
              <w:right w:val="single" w:color="auto" w:sz="4" w:space="0"/>
            </w:tcBorders>
            <w:vAlign w:val="center"/>
          </w:tcPr>
          <w:p w14:paraId="2EA37E30">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vAlign w:val="center"/>
          </w:tcPr>
          <w:p w14:paraId="2AA53D4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noWrap/>
            <w:vAlign w:val="bottom"/>
          </w:tcPr>
          <w:p w14:paraId="4EA6F529">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7CCA0C9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07D7970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71A63D65">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3F0DF27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11</w:t>
            </w:r>
          </w:p>
        </w:tc>
        <w:tc>
          <w:tcPr>
            <w:tcW w:w="1276" w:type="dxa"/>
            <w:tcBorders>
              <w:top w:val="nil"/>
              <w:left w:val="nil"/>
              <w:bottom w:val="single" w:color="auto" w:sz="4" w:space="0"/>
              <w:right w:val="single" w:color="auto" w:sz="4" w:space="0"/>
            </w:tcBorders>
            <w:vAlign w:val="center"/>
          </w:tcPr>
          <w:p w14:paraId="3D132525">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设备安装调试</w:t>
            </w:r>
          </w:p>
        </w:tc>
        <w:tc>
          <w:tcPr>
            <w:tcW w:w="2114" w:type="dxa"/>
            <w:tcBorders>
              <w:top w:val="nil"/>
              <w:left w:val="nil"/>
              <w:bottom w:val="single" w:color="auto" w:sz="4" w:space="0"/>
              <w:right w:val="single" w:color="auto" w:sz="4" w:space="0"/>
            </w:tcBorders>
            <w:vAlign w:val="center"/>
          </w:tcPr>
          <w:p w14:paraId="1977CCCC">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原有机柜、线缆等拆除、新机柜安装、接线、调试</w:t>
            </w:r>
          </w:p>
        </w:tc>
        <w:tc>
          <w:tcPr>
            <w:tcW w:w="863" w:type="dxa"/>
            <w:tcBorders>
              <w:top w:val="nil"/>
              <w:left w:val="nil"/>
              <w:bottom w:val="single" w:color="auto" w:sz="4" w:space="0"/>
              <w:right w:val="single" w:color="auto" w:sz="4" w:space="0"/>
            </w:tcBorders>
            <w:vAlign w:val="center"/>
          </w:tcPr>
          <w:p w14:paraId="56D3F7D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6D0CF34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0ED13E2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45FC909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7ED3D08B">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67C92597">
        <w:tblPrEx>
          <w:tblCellMar>
            <w:top w:w="0" w:type="dxa"/>
            <w:left w:w="108" w:type="dxa"/>
            <w:bottom w:w="0" w:type="dxa"/>
            <w:right w:w="108" w:type="dxa"/>
          </w:tblCellMar>
        </w:tblPrEx>
        <w:trPr>
          <w:cantSplit/>
          <w:trHeight w:val="417" w:hRule="atLeast"/>
        </w:trPr>
        <w:tc>
          <w:tcPr>
            <w:tcW w:w="709" w:type="dxa"/>
            <w:tcBorders>
              <w:top w:val="nil"/>
              <w:left w:val="single" w:color="auto" w:sz="4" w:space="0"/>
              <w:bottom w:val="single" w:color="auto" w:sz="4" w:space="0"/>
              <w:right w:val="single" w:color="auto" w:sz="4" w:space="0"/>
            </w:tcBorders>
            <w:noWrap/>
            <w:vAlign w:val="bottom"/>
          </w:tcPr>
          <w:p w14:paraId="7631D052">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5709A71E">
            <w:pPr>
              <w:widowControl/>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cs="Times New Roman" w:hAnsiTheme="minorEastAsia"/>
                <w:b/>
                <w:color w:val="000000" w:themeColor="text1"/>
                <w:szCs w:val="21"/>
                <w:highlight w:val="none"/>
                <w14:textFill>
                  <w14:solidFill>
                    <w14:schemeClr w14:val="tx1"/>
                  </w14:solidFill>
                </w14:textFill>
              </w:rPr>
              <w:t>小计</w:t>
            </w:r>
          </w:p>
        </w:tc>
        <w:tc>
          <w:tcPr>
            <w:tcW w:w="2114" w:type="dxa"/>
            <w:tcBorders>
              <w:top w:val="nil"/>
              <w:left w:val="nil"/>
              <w:bottom w:val="single" w:color="auto" w:sz="4" w:space="0"/>
              <w:right w:val="single" w:color="auto" w:sz="4" w:space="0"/>
            </w:tcBorders>
            <w:noWrap/>
            <w:vAlign w:val="bottom"/>
          </w:tcPr>
          <w:p w14:paraId="38C2D289">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863" w:type="dxa"/>
            <w:tcBorders>
              <w:top w:val="nil"/>
              <w:left w:val="nil"/>
              <w:bottom w:val="single" w:color="auto" w:sz="4" w:space="0"/>
              <w:right w:val="single" w:color="auto" w:sz="4" w:space="0"/>
            </w:tcBorders>
            <w:noWrap/>
            <w:vAlign w:val="bottom"/>
          </w:tcPr>
          <w:p w14:paraId="47F4C483">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3E3A96D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noWrap/>
            <w:vAlign w:val="bottom"/>
          </w:tcPr>
          <w:p w14:paraId="69EBF110">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04897B5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3E4CAAD">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bl>
    <w:p w14:paraId="59FC3E29">
      <w:pPr>
        <w:widowControl/>
        <w:jc w:val="left"/>
        <w:textAlignment w:val="center"/>
        <w:rPr>
          <w:rFonts w:ascii="Times New Roman" w:hAnsi="Times New Roman" w:cs="Times New Roman"/>
          <w:color w:val="000000" w:themeColor="text1"/>
          <w:szCs w:val="21"/>
          <w:highlight w:val="none"/>
          <w14:textFill>
            <w14:solidFill>
              <w14:schemeClr w14:val="tx1"/>
            </w14:solidFill>
          </w14:textFill>
        </w:rPr>
      </w:pPr>
    </w:p>
    <w:tbl>
      <w:tblPr>
        <w:tblStyle w:val="51"/>
        <w:tblW w:w="0" w:type="auto"/>
        <w:tblInd w:w="108" w:type="dxa"/>
        <w:tblLayout w:type="fixed"/>
        <w:tblCellMar>
          <w:top w:w="0" w:type="dxa"/>
          <w:left w:w="108" w:type="dxa"/>
          <w:bottom w:w="0" w:type="dxa"/>
          <w:right w:w="108" w:type="dxa"/>
        </w:tblCellMar>
      </w:tblPr>
      <w:tblGrid>
        <w:gridCol w:w="709"/>
        <w:gridCol w:w="1400"/>
        <w:gridCol w:w="2303"/>
        <w:gridCol w:w="833"/>
        <w:gridCol w:w="992"/>
        <w:gridCol w:w="1182"/>
        <w:gridCol w:w="945"/>
        <w:gridCol w:w="758"/>
      </w:tblGrid>
      <w:tr w14:paraId="73012A6D">
        <w:tblPrEx>
          <w:tblCellMar>
            <w:top w:w="0" w:type="dxa"/>
            <w:left w:w="108" w:type="dxa"/>
            <w:bottom w:w="0" w:type="dxa"/>
            <w:right w:w="108" w:type="dxa"/>
          </w:tblCellMar>
        </w:tblPrEx>
        <w:trPr>
          <w:cantSplit/>
          <w:trHeight w:val="280" w:hRule="atLeast"/>
        </w:trPr>
        <w:tc>
          <w:tcPr>
            <w:tcW w:w="9122" w:type="dxa"/>
            <w:gridSpan w:val="8"/>
            <w:tcBorders>
              <w:top w:val="nil"/>
              <w:left w:val="nil"/>
              <w:bottom w:val="single" w:color="auto" w:sz="4" w:space="0"/>
              <w:right w:val="nil"/>
            </w:tcBorders>
            <w:noWrap/>
            <w:vAlign w:val="bottom"/>
          </w:tcPr>
          <w:p w14:paraId="13E8B241">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附表二：直流屏配置表</w:t>
            </w:r>
          </w:p>
        </w:tc>
      </w:tr>
      <w:tr w14:paraId="657A6737">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6334EDE5">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序号</w:t>
            </w:r>
          </w:p>
        </w:tc>
        <w:tc>
          <w:tcPr>
            <w:tcW w:w="1400" w:type="dxa"/>
            <w:tcBorders>
              <w:top w:val="nil"/>
              <w:left w:val="nil"/>
              <w:bottom w:val="single" w:color="auto" w:sz="4" w:space="0"/>
              <w:right w:val="single" w:color="auto" w:sz="4" w:space="0"/>
            </w:tcBorders>
            <w:noWrap/>
            <w:vAlign w:val="center"/>
          </w:tcPr>
          <w:p w14:paraId="41205DF4">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项目名称</w:t>
            </w:r>
          </w:p>
        </w:tc>
        <w:tc>
          <w:tcPr>
            <w:tcW w:w="2303" w:type="dxa"/>
            <w:tcBorders>
              <w:top w:val="nil"/>
              <w:left w:val="nil"/>
              <w:bottom w:val="single" w:color="auto" w:sz="4" w:space="0"/>
              <w:right w:val="single" w:color="auto" w:sz="4" w:space="0"/>
            </w:tcBorders>
            <w:noWrap/>
            <w:vAlign w:val="center"/>
          </w:tcPr>
          <w:p w14:paraId="351D82B9">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项目特征</w:t>
            </w:r>
            <w:r>
              <w:rPr>
                <w:rFonts w:ascii="Times New Roman" w:hAnsi="Times New Roman" w:cs="Times New Roman"/>
                <w:b/>
                <w:bCs/>
                <w:color w:val="000000" w:themeColor="text1"/>
                <w:szCs w:val="21"/>
                <w:highlight w:val="none"/>
                <w14:textFill>
                  <w14:solidFill>
                    <w14:schemeClr w14:val="tx1"/>
                  </w14:solidFill>
                </w14:textFill>
              </w:rPr>
              <w:t>(</w:t>
            </w:r>
            <w:r>
              <w:rPr>
                <w:rFonts w:ascii="Times New Roman" w:cs="Times New Roman" w:hAnsiTheme="minorEastAsia"/>
                <w:b/>
                <w:bCs/>
                <w:color w:val="000000" w:themeColor="text1"/>
                <w:szCs w:val="21"/>
                <w:highlight w:val="none"/>
                <w14:textFill>
                  <w14:solidFill>
                    <w14:schemeClr w14:val="tx1"/>
                  </w14:solidFill>
                </w14:textFill>
              </w:rPr>
              <w:t>含规格、型号等</w:t>
            </w:r>
          </w:p>
        </w:tc>
        <w:tc>
          <w:tcPr>
            <w:tcW w:w="833" w:type="dxa"/>
            <w:tcBorders>
              <w:top w:val="nil"/>
              <w:left w:val="nil"/>
              <w:bottom w:val="single" w:color="auto" w:sz="4" w:space="0"/>
              <w:right w:val="single" w:color="auto" w:sz="4" w:space="0"/>
            </w:tcBorders>
            <w:noWrap/>
            <w:vAlign w:val="center"/>
          </w:tcPr>
          <w:p w14:paraId="65F8A752">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单位</w:t>
            </w:r>
          </w:p>
        </w:tc>
        <w:tc>
          <w:tcPr>
            <w:tcW w:w="992" w:type="dxa"/>
            <w:tcBorders>
              <w:top w:val="nil"/>
              <w:left w:val="nil"/>
              <w:bottom w:val="single" w:color="auto" w:sz="4" w:space="0"/>
              <w:right w:val="single" w:color="auto" w:sz="4" w:space="0"/>
            </w:tcBorders>
            <w:noWrap/>
            <w:vAlign w:val="center"/>
          </w:tcPr>
          <w:p w14:paraId="1178F87E">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工程量</w:t>
            </w:r>
          </w:p>
        </w:tc>
        <w:tc>
          <w:tcPr>
            <w:tcW w:w="1182" w:type="dxa"/>
            <w:tcBorders>
              <w:top w:val="nil"/>
              <w:left w:val="nil"/>
              <w:bottom w:val="single" w:color="auto" w:sz="4" w:space="0"/>
              <w:right w:val="single" w:color="auto" w:sz="4" w:space="0"/>
            </w:tcBorders>
            <w:noWrap/>
            <w:vAlign w:val="center"/>
          </w:tcPr>
          <w:p w14:paraId="3CDBB025">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全费用单价（元）</w:t>
            </w:r>
          </w:p>
        </w:tc>
        <w:tc>
          <w:tcPr>
            <w:tcW w:w="945" w:type="dxa"/>
            <w:tcBorders>
              <w:top w:val="nil"/>
              <w:left w:val="nil"/>
              <w:bottom w:val="single" w:color="auto" w:sz="4" w:space="0"/>
              <w:right w:val="single" w:color="auto" w:sz="4" w:space="0"/>
            </w:tcBorders>
            <w:noWrap/>
            <w:vAlign w:val="center"/>
          </w:tcPr>
          <w:p w14:paraId="73855665">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合计（元）</w:t>
            </w:r>
          </w:p>
        </w:tc>
        <w:tc>
          <w:tcPr>
            <w:tcW w:w="758" w:type="dxa"/>
            <w:tcBorders>
              <w:top w:val="nil"/>
              <w:left w:val="nil"/>
              <w:bottom w:val="single" w:color="auto" w:sz="4" w:space="0"/>
              <w:right w:val="single" w:color="auto" w:sz="4" w:space="0"/>
            </w:tcBorders>
            <w:noWrap/>
            <w:vAlign w:val="center"/>
          </w:tcPr>
          <w:p w14:paraId="4925D6B5">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备注</w:t>
            </w:r>
          </w:p>
        </w:tc>
      </w:tr>
      <w:tr w14:paraId="33DD5B81">
        <w:tblPrEx>
          <w:tblCellMar>
            <w:top w:w="0" w:type="dxa"/>
            <w:left w:w="108" w:type="dxa"/>
            <w:bottom w:w="0" w:type="dxa"/>
            <w:right w:w="108" w:type="dxa"/>
          </w:tblCellMar>
        </w:tblPrEx>
        <w:trPr>
          <w:cantSplit/>
          <w:trHeight w:val="325" w:hRule="atLeast"/>
        </w:trPr>
        <w:tc>
          <w:tcPr>
            <w:tcW w:w="709" w:type="dxa"/>
            <w:tcBorders>
              <w:top w:val="nil"/>
              <w:left w:val="single" w:color="auto" w:sz="4" w:space="0"/>
              <w:bottom w:val="single" w:color="auto" w:sz="4" w:space="0"/>
              <w:right w:val="single" w:color="auto" w:sz="4" w:space="0"/>
            </w:tcBorders>
            <w:vAlign w:val="center"/>
          </w:tcPr>
          <w:p w14:paraId="084AE467">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vAlign w:val="center"/>
          </w:tcPr>
          <w:p w14:paraId="024AD0D3">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直流充电屏</w:t>
            </w:r>
          </w:p>
        </w:tc>
        <w:tc>
          <w:tcPr>
            <w:tcW w:w="2303" w:type="dxa"/>
            <w:tcBorders>
              <w:top w:val="nil"/>
              <w:left w:val="nil"/>
              <w:bottom w:val="single" w:color="auto" w:sz="4" w:space="0"/>
              <w:right w:val="single" w:color="auto" w:sz="4" w:space="0"/>
            </w:tcBorders>
            <w:vAlign w:val="center"/>
          </w:tcPr>
          <w:p w14:paraId="7D54F818">
            <w:pPr>
              <w:widowControl/>
              <w:wordWrap w:val="0"/>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150Ah</w:t>
            </w:r>
            <w:r>
              <w:rPr>
                <w:rFonts w:ascii="Times New Roman" w:cs="Times New Roman" w:hAnsiTheme="minorEastAsia"/>
                <w:b/>
                <w:bCs/>
                <w:color w:val="000000" w:themeColor="text1"/>
                <w:szCs w:val="21"/>
                <w:highlight w:val="none"/>
                <w14:textFill>
                  <w14:solidFill>
                    <w14:schemeClr w14:val="tx1"/>
                  </w14:solidFill>
                </w14:textFill>
              </w:rPr>
              <w:t>，</w:t>
            </w:r>
            <w:r>
              <w:rPr>
                <w:rFonts w:ascii="Times New Roman" w:hAnsi="Times New Roman" w:cs="Times New Roman"/>
                <w:b/>
                <w:bCs/>
                <w:color w:val="000000" w:themeColor="text1"/>
                <w:szCs w:val="21"/>
                <w:highlight w:val="none"/>
                <w14:textFill>
                  <w14:solidFill>
                    <w14:schemeClr w14:val="tx1"/>
                  </w14:solidFill>
                </w14:textFill>
              </w:rPr>
              <w:t>80A</w:t>
            </w:r>
          </w:p>
        </w:tc>
        <w:tc>
          <w:tcPr>
            <w:tcW w:w="833" w:type="dxa"/>
            <w:tcBorders>
              <w:top w:val="nil"/>
              <w:left w:val="nil"/>
              <w:bottom w:val="single" w:color="auto" w:sz="4" w:space="0"/>
              <w:right w:val="single" w:color="auto" w:sz="4" w:space="0"/>
            </w:tcBorders>
            <w:vAlign w:val="center"/>
          </w:tcPr>
          <w:p w14:paraId="3E2AA64C">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78FC6A54">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1182" w:type="dxa"/>
            <w:tcBorders>
              <w:top w:val="nil"/>
              <w:left w:val="nil"/>
              <w:bottom w:val="single" w:color="auto" w:sz="4" w:space="0"/>
              <w:right w:val="single" w:color="auto" w:sz="4" w:space="0"/>
            </w:tcBorders>
            <w:vAlign w:val="center"/>
          </w:tcPr>
          <w:p w14:paraId="1C8EC84D">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4014B303">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77C47E1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3678C012">
        <w:tblPrEx>
          <w:tblCellMar>
            <w:top w:w="0" w:type="dxa"/>
            <w:left w:w="108" w:type="dxa"/>
            <w:bottom w:w="0" w:type="dxa"/>
            <w:right w:w="108" w:type="dxa"/>
          </w:tblCellMar>
        </w:tblPrEx>
        <w:trPr>
          <w:cantSplit/>
          <w:trHeight w:val="415" w:hRule="atLeast"/>
        </w:trPr>
        <w:tc>
          <w:tcPr>
            <w:tcW w:w="709" w:type="dxa"/>
            <w:tcBorders>
              <w:top w:val="nil"/>
              <w:left w:val="single" w:color="auto" w:sz="4" w:space="0"/>
              <w:bottom w:val="single" w:color="auto" w:sz="4" w:space="0"/>
              <w:right w:val="single" w:color="auto" w:sz="4" w:space="0"/>
            </w:tcBorders>
            <w:vAlign w:val="center"/>
          </w:tcPr>
          <w:p w14:paraId="2F1D858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noWrap/>
            <w:vAlign w:val="center"/>
          </w:tcPr>
          <w:p w14:paraId="4BC5317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系统柜体</w:t>
            </w:r>
          </w:p>
        </w:tc>
        <w:tc>
          <w:tcPr>
            <w:tcW w:w="2303" w:type="dxa"/>
            <w:tcBorders>
              <w:top w:val="nil"/>
              <w:left w:val="nil"/>
              <w:bottom w:val="single" w:color="auto" w:sz="4" w:space="0"/>
              <w:right w:val="single" w:color="auto" w:sz="4" w:space="0"/>
            </w:tcBorders>
            <w:vAlign w:val="center"/>
          </w:tcPr>
          <w:p w14:paraId="3FD1C720">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2260*800*600mm</w:t>
            </w:r>
          </w:p>
        </w:tc>
        <w:tc>
          <w:tcPr>
            <w:tcW w:w="833" w:type="dxa"/>
            <w:tcBorders>
              <w:top w:val="nil"/>
              <w:left w:val="nil"/>
              <w:bottom w:val="single" w:color="auto" w:sz="4" w:space="0"/>
              <w:right w:val="single" w:color="auto" w:sz="4" w:space="0"/>
            </w:tcBorders>
            <w:noWrap/>
            <w:vAlign w:val="center"/>
          </w:tcPr>
          <w:p w14:paraId="4AC9B3E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4758603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3B5A1CA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03E4285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06A5208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2F7FB55">
        <w:tblPrEx>
          <w:tblCellMar>
            <w:top w:w="0" w:type="dxa"/>
            <w:left w:w="108" w:type="dxa"/>
            <w:bottom w:w="0" w:type="dxa"/>
            <w:right w:w="108" w:type="dxa"/>
          </w:tblCellMar>
        </w:tblPrEx>
        <w:trPr>
          <w:cantSplit/>
          <w:trHeight w:val="780" w:hRule="atLeast"/>
        </w:trPr>
        <w:tc>
          <w:tcPr>
            <w:tcW w:w="709" w:type="dxa"/>
            <w:tcBorders>
              <w:top w:val="nil"/>
              <w:left w:val="single" w:color="auto" w:sz="4" w:space="0"/>
              <w:bottom w:val="single" w:color="auto" w:sz="4" w:space="0"/>
              <w:right w:val="single" w:color="auto" w:sz="4" w:space="0"/>
            </w:tcBorders>
            <w:vAlign w:val="center"/>
          </w:tcPr>
          <w:p w14:paraId="7661DE1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noWrap/>
            <w:vAlign w:val="center"/>
          </w:tcPr>
          <w:p w14:paraId="11C6805D">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系统主监控</w:t>
            </w:r>
          </w:p>
        </w:tc>
        <w:tc>
          <w:tcPr>
            <w:tcW w:w="2303" w:type="dxa"/>
            <w:tcBorders>
              <w:top w:val="nil"/>
              <w:left w:val="nil"/>
              <w:bottom w:val="single" w:color="auto" w:sz="4" w:space="0"/>
              <w:right w:val="single" w:color="auto" w:sz="4" w:space="0"/>
            </w:tcBorders>
            <w:vAlign w:val="center"/>
          </w:tcPr>
          <w:p w14:paraId="4FE31030">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触摸屏</w:t>
            </w:r>
            <w:r>
              <w:rPr>
                <w:rFonts w:ascii="Times New Roman" w:hAnsi="Times New Roman" w:cs="Times New Roman"/>
                <w:color w:val="000000" w:themeColor="text1"/>
                <w:szCs w:val="21"/>
                <w:highlight w:val="none"/>
                <w14:textFill>
                  <w14:solidFill>
                    <w14:schemeClr w14:val="tx1"/>
                  </w14:solidFill>
                </w14:textFill>
              </w:rPr>
              <w:t>≥7</w:t>
            </w:r>
            <w:r>
              <w:rPr>
                <w:rFonts w:ascii="Times New Roman" w:cs="Times New Roman" w:hAnsiTheme="minorEastAsia"/>
                <w:color w:val="000000" w:themeColor="text1"/>
                <w:szCs w:val="21"/>
                <w:highlight w:val="none"/>
                <w14:textFill>
                  <w14:solidFill>
                    <w14:schemeClr w14:val="tx1"/>
                  </w14:solidFill>
                </w14:textFill>
              </w:rPr>
              <w:t>寸，供电范围：</w:t>
            </w:r>
            <w:r>
              <w:rPr>
                <w:rFonts w:ascii="Times New Roman" w:hAnsi="Times New Roman" w:cs="Times New Roman"/>
                <w:color w:val="000000" w:themeColor="text1"/>
                <w:szCs w:val="21"/>
                <w:highlight w:val="none"/>
                <w14:textFill>
                  <w14:solidFill>
                    <w14:schemeClr w14:val="tx1"/>
                  </w14:solidFill>
                </w14:textFill>
              </w:rPr>
              <w:t>80-320VDC</w:t>
            </w:r>
            <w:r>
              <w:rPr>
                <w:rFonts w:ascii="Times New Roman" w:cs="Times New Roman" w:hAnsiTheme="minorEastAsia"/>
                <w:color w:val="000000" w:themeColor="text1"/>
                <w:szCs w:val="21"/>
                <w:highlight w:val="none"/>
                <w14:textFill>
                  <w14:solidFill>
                    <w14:schemeClr w14:val="tx1"/>
                  </w14:solidFill>
                </w14:textFill>
              </w:rPr>
              <w:t>或</w:t>
            </w:r>
            <w:r>
              <w:rPr>
                <w:rFonts w:ascii="Times New Roman" w:hAnsi="Times New Roman" w:cs="Times New Roman"/>
                <w:color w:val="000000" w:themeColor="text1"/>
                <w:szCs w:val="21"/>
                <w:highlight w:val="none"/>
                <w14:textFill>
                  <w14:solidFill>
                    <w14:schemeClr w14:val="tx1"/>
                  </w14:solidFill>
                </w14:textFill>
              </w:rPr>
              <w:t>85-250VAC</w:t>
            </w:r>
            <w:r>
              <w:rPr>
                <w:rFonts w:ascii="Times New Roman" w:cs="Times New Roman" w:hAnsiTheme="minorEastAsia"/>
                <w:color w:val="000000" w:themeColor="text1"/>
                <w:szCs w:val="21"/>
                <w:highlight w:val="none"/>
                <w14:textFill>
                  <w14:solidFill>
                    <w14:schemeClr w14:val="tx1"/>
                  </w14:solidFill>
                </w14:textFill>
              </w:rPr>
              <w:t>；直流母线电压及电池电压输入：</w:t>
            </w:r>
            <w:r>
              <w:rPr>
                <w:rFonts w:ascii="Times New Roman" w:hAnsi="Times New Roman" w:cs="Times New Roman"/>
                <w:color w:val="000000" w:themeColor="text1"/>
                <w:szCs w:val="21"/>
                <w:highlight w:val="none"/>
                <w14:textFill>
                  <w14:solidFill>
                    <w14:schemeClr w14:val="tx1"/>
                  </w14:solidFill>
                </w14:textFill>
              </w:rPr>
              <w:t>3</w:t>
            </w:r>
            <w:r>
              <w:rPr>
                <w:rFonts w:ascii="Times New Roman" w:cs="Times New Roman" w:hAnsiTheme="minorEastAsia"/>
                <w:color w:val="000000" w:themeColor="text1"/>
                <w:szCs w:val="21"/>
                <w:highlight w:val="none"/>
                <w14:textFill>
                  <w14:solidFill>
                    <w14:schemeClr w14:val="tx1"/>
                  </w14:solidFill>
                </w14:textFill>
              </w:rPr>
              <w:t>路，</w:t>
            </w:r>
            <w:r>
              <w:rPr>
                <w:rFonts w:ascii="Times New Roman" w:hAnsi="Times New Roman" w:cs="Times New Roman"/>
                <w:color w:val="000000" w:themeColor="text1"/>
                <w:szCs w:val="21"/>
                <w:highlight w:val="none"/>
                <w14:textFill>
                  <w14:solidFill>
                    <w14:schemeClr w14:val="tx1"/>
                  </w14:solidFill>
                </w14:textFill>
              </w:rPr>
              <w:t>0~300VDC</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4ADB80E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0575ED8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258F5B9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544017A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390EA0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021B82A7">
        <w:tblPrEx>
          <w:tblCellMar>
            <w:top w:w="0" w:type="dxa"/>
            <w:left w:w="108" w:type="dxa"/>
            <w:bottom w:w="0" w:type="dxa"/>
            <w:right w:w="108" w:type="dxa"/>
          </w:tblCellMar>
        </w:tblPrEx>
        <w:trPr>
          <w:cantSplit/>
          <w:trHeight w:val="520" w:hRule="atLeast"/>
        </w:trPr>
        <w:tc>
          <w:tcPr>
            <w:tcW w:w="709" w:type="dxa"/>
            <w:tcBorders>
              <w:top w:val="nil"/>
              <w:left w:val="single" w:color="auto" w:sz="4" w:space="0"/>
              <w:bottom w:val="single" w:color="auto" w:sz="4" w:space="0"/>
              <w:right w:val="single" w:color="auto" w:sz="4" w:space="0"/>
            </w:tcBorders>
            <w:vAlign w:val="center"/>
          </w:tcPr>
          <w:p w14:paraId="345218F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47BB6B4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综合测量单元</w:t>
            </w:r>
          </w:p>
        </w:tc>
        <w:tc>
          <w:tcPr>
            <w:tcW w:w="2303" w:type="dxa"/>
            <w:tcBorders>
              <w:top w:val="nil"/>
              <w:left w:val="nil"/>
              <w:bottom w:val="single" w:color="auto" w:sz="4" w:space="0"/>
              <w:right w:val="single" w:color="auto" w:sz="4" w:space="0"/>
            </w:tcBorders>
            <w:vAlign w:val="center"/>
          </w:tcPr>
          <w:p w14:paraId="31EB2069">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检测</w:t>
            </w:r>
            <w:r>
              <w:rPr>
                <w:rFonts w:ascii="Times New Roman" w:hAnsi="Times New Roman" w:cs="Times New Roman"/>
                <w:color w:val="000000" w:themeColor="text1"/>
                <w:szCs w:val="21"/>
                <w:highlight w:val="none"/>
                <w14:textFill>
                  <w14:solidFill>
                    <w14:schemeClr w14:val="tx1"/>
                  </w14:solidFill>
                </w14:textFill>
              </w:rPr>
              <w:t>40</w:t>
            </w:r>
            <w:r>
              <w:rPr>
                <w:rFonts w:ascii="Times New Roman" w:cs="Times New Roman" w:hAnsiTheme="minorEastAsia"/>
                <w:color w:val="000000" w:themeColor="text1"/>
                <w:szCs w:val="21"/>
                <w:highlight w:val="none"/>
                <w14:textFill>
                  <w14:solidFill>
                    <w14:schemeClr w14:val="tx1"/>
                  </w14:solidFill>
                </w14:textFill>
              </w:rPr>
              <w:t>个可复用支路（交直流</w:t>
            </w:r>
            <w:r>
              <w:rPr>
                <w:rFonts w:ascii="Times New Roman" w:hAnsi="Times New Roman" w:cs="Times New Roman"/>
                <w:color w:val="000000" w:themeColor="text1"/>
                <w:szCs w:val="21"/>
                <w:highlight w:val="none"/>
                <w14:textFill>
                  <w14:solidFill>
                    <w14:schemeClr w14:val="tx1"/>
                  </w14:solidFill>
                </w14:textFill>
              </w:rPr>
              <w:t>/</w:t>
            </w:r>
            <w:r>
              <w:rPr>
                <w:rFonts w:ascii="Times New Roman" w:cs="Times New Roman" w:hAnsiTheme="minorEastAsia"/>
                <w:color w:val="000000" w:themeColor="text1"/>
                <w:szCs w:val="21"/>
                <w:highlight w:val="none"/>
                <w14:textFill>
                  <w14:solidFill>
                    <w14:schemeClr w14:val="tx1"/>
                  </w14:solidFill>
                </w14:textFill>
              </w:rPr>
              <w:t>开关量），需通过上位机下发指令设置支路分配。</w:t>
            </w:r>
          </w:p>
        </w:tc>
        <w:tc>
          <w:tcPr>
            <w:tcW w:w="833" w:type="dxa"/>
            <w:tcBorders>
              <w:top w:val="nil"/>
              <w:left w:val="nil"/>
              <w:bottom w:val="single" w:color="auto" w:sz="4" w:space="0"/>
              <w:right w:val="single" w:color="auto" w:sz="4" w:space="0"/>
            </w:tcBorders>
            <w:noWrap/>
            <w:vAlign w:val="center"/>
          </w:tcPr>
          <w:p w14:paraId="35AE8E0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73D5969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318B54C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7B812AA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7798E1D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4ADD6E70">
        <w:tblPrEx>
          <w:tblCellMar>
            <w:top w:w="0" w:type="dxa"/>
            <w:left w:w="108" w:type="dxa"/>
            <w:bottom w:w="0" w:type="dxa"/>
            <w:right w:w="108" w:type="dxa"/>
          </w:tblCellMar>
        </w:tblPrEx>
        <w:trPr>
          <w:cantSplit/>
          <w:trHeight w:val="1040" w:hRule="atLeast"/>
        </w:trPr>
        <w:tc>
          <w:tcPr>
            <w:tcW w:w="709" w:type="dxa"/>
            <w:tcBorders>
              <w:top w:val="single" w:color="auto" w:sz="4" w:space="0"/>
              <w:left w:val="single" w:color="auto" w:sz="4" w:space="0"/>
              <w:bottom w:val="single" w:color="auto" w:sz="4" w:space="0"/>
              <w:right w:val="single" w:color="auto" w:sz="4" w:space="0"/>
            </w:tcBorders>
            <w:vAlign w:val="center"/>
          </w:tcPr>
          <w:p w14:paraId="3236D97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w:t>
            </w:r>
          </w:p>
        </w:tc>
        <w:tc>
          <w:tcPr>
            <w:tcW w:w="1400" w:type="dxa"/>
            <w:tcBorders>
              <w:top w:val="single" w:color="auto" w:sz="4" w:space="0"/>
              <w:left w:val="nil"/>
              <w:bottom w:val="single" w:color="auto" w:sz="4" w:space="0"/>
              <w:right w:val="single" w:color="auto" w:sz="4" w:space="0"/>
            </w:tcBorders>
            <w:noWrap/>
            <w:vAlign w:val="center"/>
          </w:tcPr>
          <w:p w14:paraId="16E7EEC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220V</w:t>
            </w:r>
            <w:r>
              <w:rPr>
                <w:rFonts w:ascii="Times New Roman" w:cs="Times New Roman" w:hAnsiTheme="minorEastAsia"/>
                <w:color w:val="000000" w:themeColor="text1"/>
                <w:szCs w:val="21"/>
                <w:highlight w:val="none"/>
                <w14:textFill>
                  <w14:solidFill>
                    <w14:schemeClr w14:val="tx1"/>
                  </w14:solidFill>
                </w14:textFill>
              </w:rPr>
              <w:t>充电模块</w:t>
            </w:r>
          </w:p>
        </w:tc>
        <w:tc>
          <w:tcPr>
            <w:tcW w:w="2303" w:type="dxa"/>
            <w:tcBorders>
              <w:top w:val="single" w:color="auto" w:sz="4" w:space="0"/>
              <w:left w:val="nil"/>
              <w:bottom w:val="single" w:color="auto" w:sz="4" w:space="0"/>
              <w:right w:val="single" w:color="auto" w:sz="4" w:space="0"/>
            </w:tcBorders>
            <w:vAlign w:val="center"/>
          </w:tcPr>
          <w:p w14:paraId="3B1049B9">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高频整流模块先进的</w:t>
            </w:r>
            <w:r>
              <w:rPr>
                <w:rFonts w:ascii="Times New Roman" w:hAnsi="Times New Roman" w:cs="Times New Roman"/>
                <w:color w:val="000000" w:themeColor="text1"/>
                <w:szCs w:val="21"/>
                <w:highlight w:val="none"/>
                <w14:textFill>
                  <w14:solidFill>
                    <w14:schemeClr w14:val="tx1"/>
                  </w14:solidFill>
                </w14:textFill>
              </w:rPr>
              <w:t>LLC</w:t>
            </w:r>
            <w:r>
              <w:rPr>
                <w:rFonts w:ascii="Times New Roman" w:cs="Times New Roman" w:hAnsiTheme="minorEastAsia"/>
                <w:color w:val="000000" w:themeColor="text1"/>
                <w:szCs w:val="21"/>
                <w:highlight w:val="none"/>
                <w14:textFill>
                  <w14:solidFill>
                    <w14:schemeClr w14:val="tx1"/>
                  </w14:solidFill>
                </w14:textFill>
              </w:rPr>
              <w:t>谐振软开关技术，效率高；采用无源</w:t>
            </w:r>
            <w:r>
              <w:rPr>
                <w:rFonts w:ascii="Times New Roman" w:hAnsi="Times New Roman" w:cs="Times New Roman"/>
                <w:color w:val="000000" w:themeColor="text1"/>
                <w:szCs w:val="21"/>
                <w:highlight w:val="none"/>
                <w14:textFill>
                  <w14:solidFill>
                    <w14:schemeClr w14:val="tx1"/>
                  </w14:solidFill>
                </w14:textFill>
              </w:rPr>
              <w:t>PFC</w:t>
            </w:r>
            <w:r>
              <w:rPr>
                <w:rFonts w:ascii="Times New Roman" w:cs="Times New Roman" w:hAnsiTheme="minorEastAsia"/>
                <w:color w:val="000000" w:themeColor="text1"/>
                <w:szCs w:val="21"/>
                <w:highlight w:val="none"/>
                <w14:textFill>
                  <w14:solidFill>
                    <w14:schemeClr w14:val="tx1"/>
                  </w14:solidFill>
                </w14:textFill>
              </w:rPr>
              <w:t>技术，功率因数高；内置完善的</w:t>
            </w:r>
            <w:r>
              <w:rPr>
                <w:rFonts w:ascii="Times New Roman" w:hAnsi="Times New Roman" w:cs="Times New Roman"/>
                <w:color w:val="000000" w:themeColor="text1"/>
                <w:szCs w:val="21"/>
                <w:highlight w:val="none"/>
                <w14:textFill>
                  <w14:solidFill>
                    <w14:schemeClr w14:val="tx1"/>
                  </w14:solidFill>
                </w14:textFill>
              </w:rPr>
              <w:t>EMC</w:t>
            </w:r>
            <w:r>
              <w:rPr>
                <w:rFonts w:ascii="Times New Roman" w:cs="Times New Roman" w:hAnsiTheme="minorEastAsia"/>
                <w:color w:val="000000" w:themeColor="text1"/>
                <w:szCs w:val="21"/>
                <w:highlight w:val="none"/>
                <w14:textFill>
                  <w14:solidFill>
                    <w14:schemeClr w14:val="tx1"/>
                  </w14:solidFill>
                </w14:textFill>
              </w:rPr>
              <w:t>设计，输入电压</w:t>
            </w:r>
            <w:r>
              <w:rPr>
                <w:rFonts w:ascii="Times New Roman" w:hAnsi="Times New Roman" w:cs="Times New Roman"/>
                <w:color w:val="000000" w:themeColor="text1"/>
                <w:szCs w:val="21"/>
                <w:highlight w:val="none"/>
                <w14:textFill>
                  <w14:solidFill>
                    <w14:schemeClr w14:val="tx1"/>
                  </w14:solidFill>
                </w14:textFill>
              </w:rPr>
              <w:t>380VAC</w:t>
            </w:r>
            <w:r>
              <w:rPr>
                <w:rFonts w:ascii="Times New Roman" w:cs="Times New Roman" w:hAnsiTheme="minorEastAsia"/>
                <w:color w:val="000000" w:themeColor="text1"/>
                <w:szCs w:val="21"/>
                <w:highlight w:val="none"/>
                <w14:textFill>
                  <w14:solidFill>
                    <w14:schemeClr w14:val="tx1"/>
                  </w14:solidFill>
                </w14:textFill>
              </w:rPr>
              <w:t>，输出额定值：</w:t>
            </w:r>
            <w:r>
              <w:rPr>
                <w:rFonts w:ascii="Times New Roman" w:hAnsi="Times New Roman" w:cs="Times New Roman"/>
                <w:color w:val="000000" w:themeColor="text1"/>
                <w:szCs w:val="21"/>
                <w:highlight w:val="none"/>
                <w14:textFill>
                  <w14:solidFill>
                    <w14:schemeClr w14:val="tx1"/>
                  </w14:solidFill>
                </w14:textFill>
              </w:rPr>
              <w:t>20A/230V</w:t>
            </w:r>
            <w:r>
              <w:rPr>
                <w:rFonts w:ascii="Times New Roman" w:cs="Times New Roman" w:hAnsiTheme="minorEastAsia"/>
                <w:color w:val="000000" w:themeColor="text1"/>
                <w:szCs w:val="21"/>
                <w:highlight w:val="none"/>
                <w14:textFill>
                  <w14:solidFill>
                    <w14:schemeClr w14:val="tx1"/>
                  </w14:solidFill>
                </w14:textFill>
              </w:rPr>
              <w:t>；电压调节范围：</w:t>
            </w:r>
            <w:r>
              <w:rPr>
                <w:rFonts w:ascii="Times New Roman" w:hAnsi="Times New Roman" w:cs="Times New Roman"/>
                <w:color w:val="000000" w:themeColor="text1"/>
                <w:szCs w:val="21"/>
                <w:highlight w:val="none"/>
                <w14:textFill>
                  <w14:solidFill>
                    <w14:schemeClr w14:val="tx1"/>
                  </w14:solidFill>
                </w14:textFill>
              </w:rPr>
              <w:t>198~286V</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3B80215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noWrap/>
            <w:vAlign w:val="center"/>
          </w:tcPr>
          <w:p w14:paraId="7437F37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w:t>
            </w:r>
          </w:p>
        </w:tc>
        <w:tc>
          <w:tcPr>
            <w:tcW w:w="1182" w:type="dxa"/>
            <w:tcBorders>
              <w:top w:val="single" w:color="auto" w:sz="4" w:space="0"/>
              <w:left w:val="nil"/>
              <w:bottom w:val="single" w:color="auto" w:sz="4" w:space="0"/>
              <w:right w:val="single" w:color="auto" w:sz="4" w:space="0"/>
            </w:tcBorders>
            <w:noWrap/>
            <w:vAlign w:val="center"/>
          </w:tcPr>
          <w:p w14:paraId="668CB57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0DEC06C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688192C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1C532F6">
        <w:tblPrEx>
          <w:tblCellMar>
            <w:top w:w="0" w:type="dxa"/>
            <w:left w:w="108" w:type="dxa"/>
            <w:bottom w:w="0" w:type="dxa"/>
            <w:right w:w="108" w:type="dxa"/>
          </w:tblCellMar>
        </w:tblPrEx>
        <w:trPr>
          <w:cantSplit/>
          <w:trHeight w:val="987" w:hRule="atLeast"/>
        </w:trPr>
        <w:tc>
          <w:tcPr>
            <w:tcW w:w="709" w:type="dxa"/>
            <w:tcBorders>
              <w:top w:val="nil"/>
              <w:left w:val="single" w:color="auto" w:sz="4" w:space="0"/>
              <w:bottom w:val="single" w:color="auto" w:sz="4" w:space="0"/>
              <w:right w:val="single" w:color="auto" w:sz="4" w:space="0"/>
            </w:tcBorders>
            <w:vAlign w:val="center"/>
          </w:tcPr>
          <w:p w14:paraId="639FFFD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w:t>
            </w:r>
          </w:p>
        </w:tc>
        <w:tc>
          <w:tcPr>
            <w:tcW w:w="1400" w:type="dxa"/>
            <w:tcBorders>
              <w:top w:val="nil"/>
              <w:left w:val="nil"/>
              <w:bottom w:val="single" w:color="auto" w:sz="4" w:space="0"/>
              <w:right w:val="single" w:color="auto" w:sz="4" w:space="0"/>
            </w:tcBorders>
            <w:noWrap/>
            <w:vAlign w:val="center"/>
          </w:tcPr>
          <w:p w14:paraId="09BB6AF1">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48V</w:t>
            </w:r>
            <w:r>
              <w:rPr>
                <w:rFonts w:ascii="Times New Roman" w:cs="Times New Roman" w:hAnsiTheme="minorEastAsia"/>
                <w:color w:val="000000" w:themeColor="text1"/>
                <w:szCs w:val="21"/>
                <w:highlight w:val="none"/>
                <w14:textFill>
                  <w14:solidFill>
                    <w14:schemeClr w14:val="tx1"/>
                  </w14:solidFill>
                </w14:textFill>
              </w:rPr>
              <w:t>充电模块</w:t>
            </w:r>
          </w:p>
        </w:tc>
        <w:tc>
          <w:tcPr>
            <w:tcW w:w="2303" w:type="dxa"/>
            <w:tcBorders>
              <w:top w:val="nil"/>
              <w:left w:val="nil"/>
              <w:bottom w:val="single" w:color="auto" w:sz="4" w:space="0"/>
              <w:right w:val="single" w:color="auto" w:sz="4" w:space="0"/>
            </w:tcBorders>
            <w:vAlign w:val="center"/>
          </w:tcPr>
          <w:p w14:paraId="3B23C0ED">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采用先进的</w:t>
            </w:r>
            <w:r>
              <w:rPr>
                <w:rFonts w:ascii="Times New Roman" w:hAnsi="Times New Roman" w:cs="Times New Roman"/>
                <w:color w:val="000000" w:themeColor="text1"/>
                <w:szCs w:val="21"/>
                <w:highlight w:val="none"/>
                <w14:textFill>
                  <w14:solidFill>
                    <w14:schemeClr w14:val="tx1"/>
                  </w14:solidFill>
                </w14:textFill>
              </w:rPr>
              <w:t>LLC</w:t>
            </w:r>
            <w:r>
              <w:rPr>
                <w:rFonts w:ascii="Times New Roman" w:cs="Times New Roman" w:hAnsiTheme="minorEastAsia"/>
                <w:color w:val="000000" w:themeColor="text1"/>
                <w:szCs w:val="21"/>
                <w:highlight w:val="none"/>
                <w14:textFill>
                  <w14:solidFill>
                    <w14:schemeClr w14:val="tx1"/>
                  </w14:solidFill>
                </w14:textFill>
              </w:rPr>
              <w:t>谐振软开关技术，效率高；采用</w:t>
            </w:r>
            <w:r>
              <w:rPr>
                <w:rFonts w:ascii="Times New Roman" w:hAnsi="Times New Roman" w:cs="Times New Roman"/>
                <w:color w:val="000000" w:themeColor="text1"/>
                <w:szCs w:val="21"/>
                <w:highlight w:val="none"/>
                <w14:textFill>
                  <w14:solidFill>
                    <w14:schemeClr w14:val="tx1"/>
                  </w14:solidFill>
                </w14:textFill>
              </w:rPr>
              <w:t>APFC</w:t>
            </w:r>
            <w:r>
              <w:rPr>
                <w:rFonts w:ascii="Times New Roman" w:cs="Times New Roman" w:hAnsiTheme="minorEastAsia"/>
                <w:color w:val="000000" w:themeColor="text1"/>
                <w:szCs w:val="21"/>
                <w:highlight w:val="none"/>
                <w14:textFill>
                  <w14:solidFill>
                    <w14:schemeClr w14:val="tx1"/>
                  </w14:solidFill>
                </w14:textFill>
              </w:rPr>
              <w:t>技术，</w:t>
            </w:r>
            <w:r>
              <w:rPr>
                <w:rFonts w:ascii="Times New Roman" w:hAnsi="Times New Roman" w:cs="Times New Roman"/>
                <w:color w:val="000000" w:themeColor="text1"/>
                <w:szCs w:val="21"/>
                <w:highlight w:val="none"/>
                <w14:textFill>
                  <w14:solidFill>
                    <w14:schemeClr w14:val="tx1"/>
                  </w14:solidFill>
                </w14:textFill>
              </w:rPr>
              <w:t xml:space="preserve"> </w:t>
            </w:r>
            <w:r>
              <w:rPr>
                <w:rFonts w:ascii="Times New Roman" w:cs="Times New Roman" w:hAnsiTheme="minorEastAsia"/>
                <w:color w:val="000000" w:themeColor="text1"/>
                <w:szCs w:val="21"/>
                <w:highlight w:val="none"/>
                <w14:textFill>
                  <w14:solidFill>
                    <w14:schemeClr w14:val="tx1"/>
                  </w14:solidFill>
                </w14:textFill>
              </w:rPr>
              <w:t>功率因数高；散热风扇采用温度联合电流控制模式。交流输入电压：</w:t>
            </w:r>
            <w:r>
              <w:rPr>
                <w:rFonts w:ascii="Times New Roman" w:hAnsi="Times New Roman" w:cs="Times New Roman"/>
                <w:color w:val="000000" w:themeColor="text1"/>
                <w:szCs w:val="21"/>
                <w:highlight w:val="none"/>
                <w14:textFill>
                  <w14:solidFill>
                    <w14:schemeClr w14:val="tx1"/>
                  </w14:solidFill>
                </w14:textFill>
              </w:rPr>
              <w:t>100VAC~286VAC</w:t>
            </w:r>
            <w:r>
              <w:rPr>
                <w:rFonts w:ascii="Times New Roman" w:cs="Times New Roman" w:hAnsiTheme="minorEastAsia"/>
                <w:color w:val="000000" w:themeColor="text1"/>
                <w:szCs w:val="21"/>
                <w:highlight w:val="none"/>
                <w14:textFill>
                  <w14:solidFill>
                    <w14:schemeClr w14:val="tx1"/>
                  </w14:solidFill>
                </w14:textFill>
              </w:rPr>
              <w:t>；直流输入电源：</w:t>
            </w:r>
            <w:r>
              <w:rPr>
                <w:rFonts w:ascii="Times New Roman" w:hAnsi="Times New Roman" w:cs="Times New Roman"/>
                <w:color w:val="000000" w:themeColor="text1"/>
                <w:szCs w:val="21"/>
                <w:highlight w:val="none"/>
                <w14:textFill>
                  <w14:solidFill>
                    <w14:schemeClr w14:val="tx1"/>
                  </w14:solidFill>
                </w14:textFill>
              </w:rPr>
              <w:t>100VDC~264VDC</w:t>
            </w:r>
            <w:r>
              <w:rPr>
                <w:rFonts w:ascii="Times New Roman" w:cs="Times New Roman" w:hAnsiTheme="minorEastAsia"/>
                <w:color w:val="000000" w:themeColor="text1"/>
                <w:szCs w:val="21"/>
                <w:highlight w:val="none"/>
                <w14:textFill>
                  <w14:solidFill>
                    <w14:schemeClr w14:val="tx1"/>
                  </w14:solidFill>
                </w14:textFill>
              </w:rPr>
              <w:t>；输出额定值：</w:t>
            </w:r>
            <w:r>
              <w:rPr>
                <w:rFonts w:ascii="Times New Roman" w:hAnsi="Times New Roman" w:cs="Times New Roman"/>
                <w:color w:val="000000" w:themeColor="text1"/>
                <w:szCs w:val="21"/>
                <w:highlight w:val="none"/>
                <w14:textFill>
                  <w14:solidFill>
                    <w14:schemeClr w14:val="tx1"/>
                  </w14:solidFill>
                </w14:textFill>
              </w:rPr>
              <w:t>20A/48V</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294D122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4A8E03A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w:t>
            </w:r>
          </w:p>
        </w:tc>
        <w:tc>
          <w:tcPr>
            <w:tcW w:w="1182" w:type="dxa"/>
            <w:tcBorders>
              <w:top w:val="nil"/>
              <w:left w:val="nil"/>
              <w:bottom w:val="single" w:color="auto" w:sz="4" w:space="0"/>
              <w:right w:val="single" w:color="auto" w:sz="4" w:space="0"/>
            </w:tcBorders>
            <w:noWrap/>
            <w:vAlign w:val="center"/>
          </w:tcPr>
          <w:p w14:paraId="1DCE6B6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4E720E56">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4B60ADB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68BC5B7E">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12ABED6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(6)</w:t>
            </w:r>
          </w:p>
        </w:tc>
        <w:tc>
          <w:tcPr>
            <w:tcW w:w="1400" w:type="dxa"/>
            <w:tcBorders>
              <w:top w:val="nil"/>
              <w:left w:val="nil"/>
              <w:bottom w:val="single" w:color="auto" w:sz="4" w:space="0"/>
              <w:right w:val="single" w:color="auto" w:sz="4" w:space="0"/>
            </w:tcBorders>
            <w:vAlign w:val="center"/>
          </w:tcPr>
          <w:p w14:paraId="6AC23962">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进线</w:t>
            </w:r>
            <w:r>
              <w:rPr>
                <w:rFonts w:ascii="Times New Roman" w:hAnsi="Times New Roman" w:cs="Times New Roman"/>
                <w:color w:val="000000" w:themeColor="text1"/>
                <w:szCs w:val="21"/>
                <w:highlight w:val="none"/>
                <w14:textFill>
                  <w14:solidFill>
                    <w14:schemeClr w14:val="tx1"/>
                  </w14:solidFill>
                </w14:textFill>
              </w:rPr>
              <w:t>ATS</w:t>
            </w:r>
            <w:r>
              <w:rPr>
                <w:rFonts w:ascii="Times New Roman" w:cs="Times New Roman" w:hAnsiTheme="minorEastAsia"/>
                <w:color w:val="000000" w:themeColor="text1"/>
                <w:szCs w:val="21"/>
                <w:highlight w:val="none"/>
                <w14:textFill>
                  <w14:solidFill>
                    <w14:schemeClr w14:val="tx1"/>
                  </w14:solidFill>
                </w14:textFill>
              </w:rPr>
              <w:t>切换装置</w:t>
            </w:r>
          </w:p>
        </w:tc>
        <w:tc>
          <w:tcPr>
            <w:tcW w:w="2303" w:type="dxa"/>
            <w:tcBorders>
              <w:top w:val="nil"/>
              <w:left w:val="nil"/>
              <w:bottom w:val="single" w:color="auto" w:sz="4" w:space="0"/>
              <w:right w:val="single" w:color="auto" w:sz="4" w:space="0"/>
            </w:tcBorders>
            <w:vAlign w:val="center"/>
          </w:tcPr>
          <w:p w14:paraId="6858659E">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三相四线，</w:t>
            </w:r>
            <w:r>
              <w:rPr>
                <w:rFonts w:ascii="Times New Roman" w:hAnsi="Times New Roman" w:cs="Times New Roman"/>
                <w:color w:val="000000" w:themeColor="text1"/>
                <w:szCs w:val="21"/>
                <w:highlight w:val="none"/>
                <w14:textFill>
                  <w14:solidFill>
                    <w14:schemeClr w14:val="tx1"/>
                  </w14:solidFill>
                </w14:textFill>
              </w:rPr>
              <w:t>100A</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vAlign w:val="center"/>
          </w:tcPr>
          <w:p w14:paraId="02D514C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7C1213C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72390AD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7C16B3C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16E4942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6EB4E4D2">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4D1681A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(7)</w:t>
            </w:r>
          </w:p>
        </w:tc>
        <w:tc>
          <w:tcPr>
            <w:tcW w:w="1400" w:type="dxa"/>
            <w:tcBorders>
              <w:top w:val="nil"/>
              <w:left w:val="nil"/>
              <w:bottom w:val="single" w:color="auto" w:sz="4" w:space="0"/>
              <w:right w:val="single" w:color="auto" w:sz="4" w:space="0"/>
            </w:tcBorders>
            <w:noWrap/>
            <w:vAlign w:val="center"/>
          </w:tcPr>
          <w:p w14:paraId="16E78FF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电池巡检单元</w:t>
            </w:r>
          </w:p>
        </w:tc>
        <w:tc>
          <w:tcPr>
            <w:tcW w:w="2303" w:type="dxa"/>
            <w:tcBorders>
              <w:top w:val="nil"/>
              <w:left w:val="nil"/>
              <w:bottom w:val="single" w:color="auto" w:sz="4" w:space="0"/>
              <w:right w:val="single" w:color="auto" w:sz="4" w:space="0"/>
            </w:tcBorders>
            <w:vAlign w:val="center"/>
          </w:tcPr>
          <w:p w14:paraId="07A2DA3E">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监测</w:t>
            </w:r>
            <w:r>
              <w:rPr>
                <w:rFonts w:ascii="Times New Roman" w:hAnsi="Times New Roman" w:cs="Times New Roman"/>
                <w:color w:val="000000" w:themeColor="text1"/>
                <w:szCs w:val="21"/>
                <w:highlight w:val="none"/>
                <w14:textFill>
                  <w14:solidFill>
                    <w14:schemeClr w14:val="tx1"/>
                  </w14:solidFill>
                </w14:textFill>
              </w:rPr>
              <w:t>18</w:t>
            </w:r>
            <w:r>
              <w:rPr>
                <w:rFonts w:ascii="Times New Roman" w:cs="Times New Roman" w:hAnsiTheme="minorEastAsia"/>
                <w:color w:val="000000" w:themeColor="text1"/>
                <w:szCs w:val="21"/>
                <w:highlight w:val="none"/>
                <w14:textFill>
                  <w14:solidFill>
                    <w14:schemeClr w14:val="tx1"/>
                  </w14:solidFill>
                </w14:textFill>
              </w:rPr>
              <w:t>节蓄电池，带温度补偿</w:t>
            </w:r>
          </w:p>
        </w:tc>
        <w:tc>
          <w:tcPr>
            <w:tcW w:w="833" w:type="dxa"/>
            <w:tcBorders>
              <w:top w:val="nil"/>
              <w:left w:val="nil"/>
              <w:bottom w:val="single" w:color="auto" w:sz="4" w:space="0"/>
              <w:right w:val="single" w:color="auto" w:sz="4" w:space="0"/>
            </w:tcBorders>
            <w:noWrap/>
            <w:vAlign w:val="center"/>
          </w:tcPr>
          <w:p w14:paraId="42AFC15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4913FB4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7F06B56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150FF31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57A1D8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BF55AC4">
        <w:tblPrEx>
          <w:tblCellMar>
            <w:top w:w="0" w:type="dxa"/>
            <w:left w:w="108" w:type="dxa"/>
            <w:bottom w:w="0" w:type="dxa"/>
            <w:right w:w="108" w:type="dxa"/>
          </w:tblCellMar>
        </w:tblPrEx>
        <w:trPr>
          <w:cantSplit/>
          <w:trHeight w:val="520" w:hRule="atLeast"/>
        </w:trPr>
        <w:tc>
          <w:tcPr>
            <w:tcW w:w="709" w:type="dxa"/>
            <w:tcBorders>
              <w:top w:val="single" w:color="auto" w:sz="4" w:space="0"/>
              <w:left w:val="single" w:color="auto" w:sz="4" w:space="0"/>
              <w:bottom w:val="single" w:color="auto" w:sz="4" w:space="0"/>
              <w:right w:val="single" w:color="auto" w:sz="4" w:space="0"/>
            </w:tcBorders>
            <w:vAlign w:val="center"/>
          </w:tcPr>
          <w:p w14:paraId="18EF62E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(8)</w:t>
            </w:r>
          </w:p>
        </w:tc>
        <w:tc>
          <w:tcPr>
            <w:tcW w:w="1400" w:type="dxa"/>
            <w:tcBorders>
              <w:top w:val="single" w:color="auto" w:sz="4" w:space="0"/>
              <w:left w:val="nil"/>
              <w:bottom w:val="single" w:color="auto" w:sz="4" w:space="0"/>
              <w:right w:val="single" w:color="auto" w:sz="4" w:space="0"/>
            </w:tcBorders>
            <w:noWrap/>
            <w:vAlign w:val="center"/>
          </w:tcPr>
          <w:p w14:paraId="2DA60BCF">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线缆辅材及结构件</w:t>
            </w:r>
          </w:p>
        </w:tc>
        <w:tc>
          <w:tcPr>
            <w:tcW w:w="2303" w:type="dxa"/>
            <w:tcBorders>
              <w:top w:val="single" w:color="auto" w:sz="4" w:space="0"/>
              <w:left w:val="nil"/>
              <w:bottom w:val="single" w:color="auto" w:sz="4" w:space="0"/>
              <w:right w:val="single" w:color="auto" w:sz="4" w:space="0"/>
            </w:tcBorders>
            <w:vAlign w:val="center"/>
          </w:tcPr>
          <w:p w14:paraId="23AC657F">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线缆、铜排、保险丝、防雷器、降压硅链模块、电池开关、放电开关、电压表、电流表。</w:t>
            </w:r>
          </w:p>
        </w:tc>
        <w:tc>
          <w:tcPr>
            <w:tcW w:w="833" w:type="dxa"/>
            <w:tcBorders>
              <w:top w:val="single" w:color="auto" w:sz="4" w:space="0"/>
              <w:left w:val="nil"/>
              <w:bottom w:val="single" w:color="auto" w:sz="4" w:space="0"/>
              <w:right w:val="single" w:color="auto" w:sz="4" w:space="0"/>
            </w:tcBorders>
            <w:noWrap/>
            <w:vAlign w:val="center"/>
          </w:tcPr>
          <w:p w14:paraId="49C155E6">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noWrap/>
            <w:vAlign w:val="center"/>
          </w:tcPr>
          <w:p w14:paraId="27296680">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7911E81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0C1EAE0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039F68F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622CAC66">
        <w:tblPrEx>
          <w:tblCellMar>
            <w:top w:w="0" w:type="dxa"/>
            <w:left w:w="108" w:type="dxa"/>
            <w:bottom w:w="0" w:type="dxa"/>
            <w:right w:w="108" w:type="dxa"/>
          </w:tblCellMar>
        </w:tblPrEx>
        <w:trPr>
          <w:cantSplit/>
          <w:trHeight w:val="368" w:hRule="atLeast"/>
        </w:trPr>
        <w:tc>
          <w:tcPr>
            <w:tcW w:w="709" w:type="dxa"/>
            <w:tcBorders>
              <w:top w:val="nil"/>
              <w:left w:val="single" w:color="auto" w:sz="4" w:space="0"/>
              <w:bottom w:val="single" w:color="auto" w:sz="4" w:space="0"/>
              <w:right w:val="single" w:color="auto" w:sz="4" w:space="0"/>
            </w:tcBorders>
            <w:vAlign w:val="center"/>
          </w:tcPr>
          <w:p w14:paraId="19673C1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vAlign w:val="center"/>
          </w:tcPr>
          <w:p w14:paraId="7CE4E824">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直流馈线屏</w:t>
            </w:r>
          </w:p>
        </w:tc>
        <w:tc>
          <w:tcPr>
            <w:tcW w:w="2303" w:type="dxa"/>
            <w:tcBorders>
              <w:top w:val="nil"/>
              <w:left w:val="nil"/>
              <w:bottom w:val="single" w:color="auto" w:sz="4" w:space="0"/>
              <w:right w:val="single" w:color="auto" w:sz="4" w:space="0"/>
            </w:tcBorders>
            <w:vAlign w:val="center"/>
          </w:tcPr>
          <w:p w14:paraId="5017DEDE">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833" w:type="dxa"/>
            <w:tcBorders>
              <w:top w:val="nil"/>
              <w:left w:val="nil"/>
              <w:bottom w:val="single" w:color="auto" w:sz="4" w:space="0"/>
              <w:right w:val="single" w:color="auto" w:sz="4" w:space="0"/>
            </w:tcBorders>
            <w:vAlign w:val="center"/>
          </w:tcPr>
          <w:p w14:paraId="6F45631A">
            <w:pPr>
              <w:widowControl/>
              <w:jc w:val="center"/>
              <w:rPr>
                <w:rFonts w:ascii="Times New Roman" w:hAnsi="Times New Roman" w:cs="Times New Roman"/>
                <w:b/>
                <w:bCs/>
                <w:color w:val="000000" w:themeColor="text1"/>
                <w:szCs w:val="21"/>
                <w:highlight w:val="none"/>
                <w14:textFill>
                  <w14:solidFill>
                    <w14:schemeClr w14:val="tx1"/>
                  </w14:solidFill>
                </w14:textFill>
              </w:rPr>
            </w:pPr>
          </w:p>
        </w:tc>
        <w:tc>
          <w:tcPr>
            <w:tcW w:w="992" w:type="dxa"/>
            <w:tcBorders>
              <w:top w:val="nil"/>
              <w:left w:val="nil"/>
              <w:bottom w:val="single" w:color="auto" w:sz="4" w:space="0"/>
              <w:right w:val="single" w:color="auto" w:sz="4" w:space="0"/>
            </w:tcBorders>
            <w:vAlign w:val="center"/>
          </w:tcPr>
          <w:p w14:paraId="7B60A8F4">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vAlign w:val="center"/>
          </w:tcPr>
          <w:p w14:paraId="25830587">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76456E54">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2F9BD529">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51758F06">
        <w:tblPrEx>
          <w:tblCellMar>
            <w:top w:w="0" w:type="dxa"/>
            <w:left w:w="108" w:type="dxa"/>
            <w:bottom w:w="0" w:type="dxa"/>
            <w:right w:w="108" w:type="dxa"/>
          </w:tblCellMar>
        </w:tblPrEx>
        <w:trPr>
          <w:cantSplit/>
          <w:trHeight w:val="415" w:hRule="atLeast"/>
        </w:trPr>
        <w:tc>
          <w:tcPr>
            <w:tcW w:w="709" w:type="dxa"/>
            <w:tcBorders>
              <w:top w:val="single" w:color="auto" w:sz="4" w:space="0"/>
              <w:left w:val="single" w:color="auto" w:sz="4" w:space="0"/>
              <w:bottom w:val="single" w:color="auto" w:sz="4" w:space="0"/>
              <w:right w:val="single" w:color="auto" w:sz="4" w:space="0"/>
            </w:tcBorders>
            <w:vAlign w:val="center"/>
          </w:tcPr>
          <w:p w14:paraId="2A77846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400" w:type="dxa"/>
            <w:tcBorders>
              <w:top w:val="single" w:color="auto" w:sz="4" w:space="0"/>
              <w:left w:val="nil"/>
              <w:bottom w:val="single" w:color="auto" w:sz="4" w:space="0"/>
              <w:right w:val="single" w:color="auto" w:sz="4" w:space="0"/>
            </w:tcBorders>
            <w:noWrap/>
            <w:vAlign w:val="center"/>
          </w:tcPr>
          <w:p w14:paraId="74547A0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系统柜体</w:t>
            </w:r>
          </w:p>
        </w:tc>
        <w:tc>
          <w:tcPr>
            <w:tcW w:w="2303" w:type="dxa"/>
            <w:tcBorders>
              <w:top w:val="single" w:color="auto" w:sz="4" w:space="0"/>
              <w:left w:val="nil"/>
              <w:bottom w:val="single" w:color="auto" w:sz="4" w:space="0"/>
              <w:right w:val="single" w:color="auto" w:sz="4" w:space="0"/>
            </w:tcBorders>
            <w:vAlign w:val="center"/>
          </w:tcPr>
          <w:p w14:paraId="790BB06F">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2260*800*600mm</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4152CF4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noWrap/>
            <w:vAlign w:val="center"/>
          </w:tcPr>
          <w:p w14:paraId="3AEEE83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3504CD6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418920F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center"/>
          </w:tcPr>
          <w:p w14:paraId="6E51B43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5B3F7B9F">
        <w:tblPrEx>
          <w:tblCellMar>
            <w:top w:w="0" w:type="dxa"/>
            <w:left w:w="108" w:type="dxa"/>
            <w:bottom w:w="0" w:type="dxa"/>
            <w:right w:w="108" w:type="dxa"/>
          </w:tblCellMar>
        </w:tblPrEx>
        <w:trPr>
          <w:cantSplit/>
          <w:trHeight w:val="562" w:hRule="atLeast"/>
        </w:trPr>
        <w:tc>
          <w:tcPr>
            <w:tcW w:w="709" w:type="dxa"/>
            <w:tcBorders>
              <w:top w:val="nil"/>
              <w:left w:val="single" w:color="auto" w:sz="4" w:space="0"/>
              <w:bottom w:val="single" w:color="auto" w:sz="4" w:space="0"/>
              <w:right w:val="single" w:color="auto" w:sz="4" w:space="0"/>
            </w:tcBorders>
            <w:vAlign w:val="center"/>
          </w:tcPr>
          <w:p w14:paraId="5F8D451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noWrap/>
            <w:vAlign w:val="center"/>
          </w:tcPr>
          <w:p w14:paraId="38BDF7E8">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支路绝缘监测</w:t>
            </w:r>
          </w:p>
        </w:tc>
        <w:tc>
          <w:tcPr>
            <w:tcW w:w="2303" w:type="dxa"/>
            <w:tcBorders>
              <w:top w:val="nil"/>
              <w:left w:val="nil"/>
              <w:bottom w:val="single" w:color="auto" w:sz="4" w:space="0"/>
              <w:right w:val="single" w:color="auto" w:sz="4" w:space="0"/>
            </w:tcBorders>
            <w:vAlign w:val="center"/>
          </w:tcPr>
          <w:p w14:paraId="0CCB8A88">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可监测</w:t>
            </w:r>
            <w:r>
              <w:rPr>
                <w:rFonts w:ascii="Times New Roman" w:hAnsi="Times New Roman" w:cs="Times New Roman"/>
                <w:color w:val="000000" w:themeColor="text1"/>
                <w:szCs w:val="21"/>
                <w:highlight w:val="none"/>
                <w14:textFill>
                  <w14:solidFill>
                    <w14:schemeClr w14:val="tx1"/>
                  </w14:solidFill>
                </w14:textFill>
              </w:rPr>
              <w:t>40</w:t>
            </w:r>
            <w:r>
              <w:rPr>
                <w:rFonts w:ascii="Times New Roman" w:cs="Times New Roman" w:hAnsiTheme="minorEastAsia"/>
                <w:color w:val="000000" w:themeColor="text1"/>
                <w:szCs w:val="21"/>
                <w:highlight w:val="none"/>
                <w14:textFill>
                  <w14:solidFill>
                    <w14:schemeClr w14:val="tx1"/>
                  </w14:solidFill>
                </w14:textFill>
              </w:rPr>
              <w:t>个直流馈线输出支路绝缘监测，在线监测直流电源系统对地绝缘状况（包括直流母线和各个馈线回路绝缘状况）。</w:t>
            </w:r>
          </w:p>
        </w:tc>
        <w:tc>
          <w:tcPr>
            <w:tcW w:w="833" w:type="dxa"/>
            <w:tcBorders>
              <w:top w:val="nil"/>
              <w:left w:val="nil"/>
              <w:bottom w:val="single" w:color="auto" w:sz="4" w:space="0"/>
              <w:right w:val="single" w:color="auto" w:sz="4" w:space="0"/>
            </w:tcBorders>
            <w:noWrap/>
            <w:vAlign w:val="center"/>
          </w:tcPr>
          <w:p w14:paraId="09DBBE2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11BEFD8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1D36EF4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4116319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18224C3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7D9F7528">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2B45D7C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2C4E688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漏电流传感器</w:t>
            </w:r>
          </w:p>
        </w:tc>
        <w:tc>
          <w:tcPr>
            <w:tcW w:w="2303" w:type="dxa"/>
            <w:tcBorders>
              <w:top w:val="nil"/>
              <w:left w:val="nil"/>
              <w:bottom w:val="single" w:color="auto" w:sz="4" w:space="0"/>
              <w:right w:val="single" w:color="auto" w:sz="4" w:space="0"/>
            </w:tcBorders>
            <w:vAlign w:val="center"/>
          </w:tcPr>
          <w:p w14:paraId="0D08563E">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(±10mA/5V</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53C7A5E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2AE070B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37</w:t>
            </w:r>
          </w:p>
        </w:tc>
        <w:tc>
          <w:tcPr>
            <w:tcW w:w="1182" w:type="dxa"/>
            <w:tcBorders>
              <w:top w:val="nil"/>
              <w:left w:val="nil"/>
              <w:bottom w:val="single" w:color="auto" w:sz="4" w:space="0"/>
              <w:right w:val="single" w:color="auto" w:sz="4" w:space="0"/>
            </w:tcBorders>
            <w:noWrap/>
            <w:vAlign w:val="center"/>
          </w:tcPr>
          <w:p w14:paraId="64FD238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2AF0F17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3BE66DE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15A46761">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5588678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w:t>
            </w:r>
          </w:p>
        </w:tc>
        <w:tc>
          <w:tcPr>
            <w:tcW w:w="1400" w:type="dxa"/>
            <w:tcBorders>
              <w:top w:val="nil"/>
              <w:left w:val="nil"/>
              <w:bottom w:val="single" w:color="auto" w:sz="4" w:space="0"/>
              <w:right w:val="single" w:color="auto" w:sz="4" w:space="0"/>
            </w:tcBorders>
            <w:noWrap/>
            <w:vAlign w:val="center"/>
          </w:tcPr>
          <w:p w14:paraId="60076A5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合母馈出回路</w:t>
            </w:r>
          </w:p>
        </w:tc>
        <w:tc>
          <w:tcPr>
            <w:tcW w:w="2303" w:type="dxa"/>
            <w:tcBorders>
              <w:top w:val="nil"/>
              <w:left w:val="nil"/>
              <w:bottom w:val="single" w:color="auto" w:sz="4" w:space="0"/>
              <w:right w:val="single" w:color="auto" w:sz="4" w:space="0"/>
            </w:tcBorders>
            <w:noWrap/>
            <w:vAlign w:val="center"/>
          </w:tcPr>
          <w:p w14:paraId="15A0E5BB">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iC65H C25/2P</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6D55ECC6">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noWrap/>
            <w:vAlign w:val="center"/>
          </w:tcPr>
          <w:p w14:paraId="01560FB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12</w:t>
            </w:r>
          </w:p>
        </w:tc>
        <w:tc>
          <w:tcPr>
            <w:tcW w:w="1182" w:type="dxa"/>
            <w:tcBorders>
              <w:top w:val="nil"/>
              <w:left w:val="nil"/>
              <w:bottom w:val="single" w:color="auto" w:sz="4" w:space="0"/>
              <w:right w:val="single" w:color="auto" w:sz="4" w:space="0"/>
            </w:tcBorders>
            <w:noWrap/>
            <w:vAlign w:val="center"/>
          </w:tcPr>
          <w:p w14:paraId="05A0029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0ED9320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0038CEE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6CF4ECB3">
        <w:tblPrEx>
          <w:tblCellMar>
            <w:top w:w="0" w:type="dxa"/>
            <w:left w:w="108" w:type="dxa"/>
            <w:bottom w:w="0" w:type="dxa"/>
            <w:right w:w="108" w:type="dxa"/>
          </w:tblCellMar>
        </w:tblPrEx>
        <w:trPr>
          <w:cantSplit/>
          <w:trHeight w:val="280" w:hRule="atLeast"/>
        </w:trPr>
        <w:tc>
          <w:tcPr>
            <w:tcW w:w="709" w:type="dxa"/>
            <w:tcBorders>
              <w:top w:val="single" w:color="auto" w:sz="4" w:space="0"/>
              <w:left w:val="single" w:color="auto" w:sz="4" w:space="0"/>
              <w:bottom w:val="single" w:color="auto" w:sz="4" w:space="0"/>
              <w:right w:val="single" w:color="auto" w:sz="4" w:space="0"/>
            </w:tcBorders>
            <w:vAlign w:val="center"/>
          </w:tcPr>
          <w:p w14:paraId="515AD6C2">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w:t>
            </w:r>
          </w:p>
        </w:tc>
        <w:tc>
          <w:tcPr>
            <w:tcW w:w="1400" w:type="dxa"/>
            <w:tcBorders>
              <w:top w:val="single" w:color="auto" w:sz="4" w:space="0"/>
              <w:left w:val="nil"/>
              <w:bottom w:val="single" w:color="auto" w:sz="4" w:space="0"/>
              <w:right w:val="single" w:color="auto" w:sz="4" w:space="0"/>
            </w:tcBorders>
            <w:noWrap/>
            <w:vAlign w:val="center"/>
          </w:tcPr>
          <w:p w14:paraId="5682E29B">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控母馈出回路</w:t>
            </w:r>
          </w:p>
        </w:tc>
        <w:tc>
          <w:tcPr>
            <w:tcW w:w="2303" w:type="dxa"/>
            <w:tcBorders>
              <w:top w:val="single" w:color="auto" w:sz="4" w:space="0"/>
              <w:left w:val="nil"/>
              <w:bottom w:val="single" w:color="auto" w:sz="4" w:space="0"/>
              <w:right w:val="single" w:color="auto" w:sz="4" w:space="0"/>
            </w:tcBorders>
            <w:noWrap/>
            <w:vAlign w:val="center"/>
          </w:tcPr>
          <w:p w14:paraId="347C2D2B">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iC65H C16/2P</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506802A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noWrap/>
            <w:vAlign w:val="center"/>
          </w:tcPr>
          <w:p w14:paraId="3E23754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25</w:t>
            </w:r>
          </w:p>
        </w:tc>
        <w:tc>
          <w:tcPr>
            <w:tcW w:w="1182" w:type="dxa"/>
            <w:tcBorders>
              <w:top w:val="single" w:color="auto" w:sz="4" w:space="0"/>
              <w:left w:val="nil"/>
              <w:bottom w:val="single" w:color="auto" w:sz="4" w:space="0"/>
              <w:right w:val="single" w:color="auto" w:sz="4" w:space="0"/>
            </w:tcBorders>
            <w:noWrap/>
            <w:vAlign w:val="center"/>
          </w:tcPr>
          <w:p w14:paraId="254D8D67">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3F441B8C">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6D44D86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53A7E931">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0801922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(6)</w:t>
            </w:r>
          </w:p>
        </w:tc>
        <w:tc>
          <w:tcPr>
            <w:tcW w:w="1400" w:type="dxa"/>
            <w:tcBorders>
              <w:top w:val="nil"/>
              <w:left w:val="nil"/>
              <w:bottom w:val="single" w:color="auto" w:sz="4" w:space="0"/>
              <w:right w:val="single" w:color="auto" w:sz="4" w:space="0"/>
            </w:tcBorders>
            <w:noWrap/>
            <w:vAlign w:val="center"/>
          </w:tcPr>
          <w:p w14:paraId="087F356E">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48V</w:t>
            </w:r>
            <w:r>
              <w:rPr>
                <w:rFonts w:ascii="Times New Roman" w:cs="Times New Roman" w:hAnsiTheme="minorEastAsia"/>
                <w:color w:val="000000" w:themeColor="text1"/>
                <w:szCs w:val="21"/>
                <w:highlight w:val="none"/>
                <w14:textFill>
                  <w14:solidFill>
                    <w14:schemeClr w14:val="tx1"/>
                  </w14:solidFill>
                </w14:textFill>
              </w:rPr>
              <w:t>馈出回路</w:t>
            </w:r>
          </w:p>
        </w:tc>
        <w:tc>
          <w:tcPr>
            <w:tcW w:w="2303" w:type="dxa"/>
            <w:tcBorders>
              <w:top w:val="nil"/>
              <w:left w:val="nil"/>
              <w:bottom w:val="single" w:color="auto" w:sz="4" w:space="0"/>
              <w:right w:val="single" w:color="auto" w:sz="4" w:space="0"/>
            </w:tcBorders>
            <w:noWrap/>
            <w:vAlign w:val="center"/>
          </w:tcPr>
          <w:p w14:paraId="73CAD970">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iC65H C16/2P</w:t>
            </w:r>
            <w:r>
              <w:rPr>
                <w:rFonts w:ascii="Times New Roman" w:cs="Times New Roman" w:hAnsiTheme="minorEastAsia"/>
                <w:color w:val="000000" w:themeColor="text1"/>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10362915">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noWrap/>
            <w:vAlign w:val="center"/>
          </w:tcPr>
          <w:p w14:paraId="439ED46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12</w:t>
            </w:r>
          </w:p>
        </w:tc>
        <w:tc>
          <w:tcPr>
            <w:tcW w:w="1182" w:type="dxa"/>
            <w:tcBorders>
              <w:top w:val="nil"/>
              <w:left w:val="nil"/>
              <w:bottom w:val="single" w:color="auto" w:sz="4" w:space="0"/>
              <w:right w:val="single" w:color="auto" w:sz="4" w:space="0"/>
            </w:tcBorders>
            <w:noWrap/>
            <w:vAlign w:val="center"/>
          </w:tcPr>
          <w:p w14:paraId="60578509">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2EA02ACA">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C84F20E">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2D18F4C">
        <w:tblPrEx>
          <w:tblCellMar>
            <w:top w:w="0" w:type="dxa"/>
            <w:left w:w="108" w:type="dxa"/>
            <w:bottom w:w="0" w:type="dxa"/>
            <w:right w:w="108" w:type="dxa"/>
          </w:tblCellMar>
        </w:tblPrEx>
        <w:trPr>
          <w:cantSplit/>
          <w:trHeight w:val="780" w:hRule="atLeast"/>
        </w:trPr>
        <w:tc>
          <w:tcPr>
            <w:tcW w:w="709" w:type="dxa"/>
            <w:tcBorders>
              <w:top w:val="single" w:color="auto" w:sz="4" w:space="0"/>
              <w:left w:val="single" w:color="auto" w:sz="4" w:space="0"/>
              <w:bottom w:val="single" w:color="auto" w:sz="4" w:space="0"/>
              <w:right w:val="single" w:color="auto" w:sz="4" w:space="0"/>
            </w:tcBorders>
            <w:vAlign w:val="center"/>
          </w:tcPr>
          <w:p w14:paraId="702BF3F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(7)</w:t>
            </w:r>
          </w:p>
        </w:tc>
        <w:tc>
          <w:tcPr>
            <w:tcW w:w="1400" w:type="dxa"/>
            <w:tcBorders>
              <w:top w:val="single" w:color="auto" w:sz="4" w:space="0"/>
              <w:left w:val="nil"/>
              <w:bottom w:val="single" w:color="auto" w:sz="4" w:space="0"/>
              <w:right w:val="single" w:color="auto" w:sz="4" w:space="0"/>
            </w:tcBorders>
            <w:noWrap/>
            <w:vAlign w:val="center"/>
          </w:tcPr>
          <w:p w14:paraId="1A2D0AE5">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线缆辅材及结构件</w:t>
            </w:r>
          </w:p>
        </w:tc>
        <w:tc>
          <w:tcPr>
            <w:tcW w:w="2303" w:type="dxa"/>
            <w:tcBorders>
              <w:top w:val="single" w:color="auto" w:sz="4" w:space="0"/>
              <w:left w:val="nil"/>
              <w:bottom w:val="single" w:color="auto" w:sz="4" w:space="0"/>
              <w:right w:val="single" w:color="auto" w:sz="4" w:space="0"/>
            </w:tcBorders>
            <w:vAlign w:val="center"/>
          </w:tcPr>
          <w:p w14:paraId="26ED9B7A">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线缆、铜排、大电流端子、保险丝、接线端子、信号指示灯、分流器、霍尔传感器，另外为后期保护扩容预留</w:t>
            </w:r>
            <w:r>
              <w:rPr>
                <w:rFonts w:ascii="Times New Roman" w:hAnsi="Times New Roman" w:cs="Times New Roman"/>
                <w:color w:val="000000" w:themeColor="text1"/>
                <w:szCs w:val="21"/>
                <w:highlight w:val="none"/>
                <w14:textFill>
                  <w14:solidFill>
                    <w14:schemeClr w14:val="tx1"/>
                  </w14:solidFill>
                </w14:textFill>
              </w:rPr>
              <w:t>25</w:t>
            </w:r>
            <w:r>
              <w:rPr>
                <w:rFonts w:ascii="Times New Roman" w:cs="Times New Roman" w:hAnsiTheme="minorEastAsia"/>
                <w:color w:val="000000" w:themeColor="text1"/>
                <w:szCs w:val="21"/>
                <w:highlight w:val="none"/>
                <w14:textFill>
                  <w14:solidFill>
                    <w14:schemeClr w14:val="tx1"/>
                  </w14:solidFill>
                </w14:textFill>
              </w:rPr>
              <w:t>个直流馈线回路。</w:t>
            </w:r>
          </w:p>
        </w:tc>
        <w:tc>
          <w:tcPr>
            <w:tcW w:w="833" w:type="dxa"/>
            <w:tcBorders>
              <w:top w:val="single" w:color="auto" w:sz="4" w:space="0"/>
              <w:left w:val="nil"/>
              <w:bottom w:val="single" w:color="auto" w:sz="4" w:space="0"/>
              <w:right w:val="single" w:color="auto" w:sz="4" w:space="0"/>
            </w:tcBorders>
            <w:noWrap/>
            <w:vAlign w:val="center"/>
          </w:tcPr>
          <w:p w14:paraId="6C1DD20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noWrap/>
            <w:vAlign w:val="center"/>
          </w:tcPr>
          <w:p w14:paraId="113C02F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4AFA204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36A4942F">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0E2226B4">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1599ED20">
        <w:tblPrEx>
          <w:tblCellMar>
            <w:top w:w="0" w:type="dxa"/>
            <w:left w:w="108" w:type="dxa"/>
            <w:bottom w:w="0" w:type="dxa"/>
            <w:right w:w="108" w:type="dxa"/>
          </w:tblCellMar>
        </w:tblPrEx>
        <w:trPr>
          <w:cantSplit/>
          <w:trHeight w:val="411" w:hRule="atLeast"/>
        </w:trPr>
        <w:tc>
          <w:tcPr>
            <w:tcW w:w="709" w:type="dxa"/>
            <w:tcBorders>
              <w:top w:val="nil"/>
              <w:left w:val="single" w:color="auto" w:sz="4" w:space="0"/>
              <w:bottom w:val="single" w:color="auto" w:sz="4" w:space="0"/>
              <w:right w:val="single" w:color="auto" w:sz="4" w:space="0"/>
            </w:tcBorders>
            <w:noWrap/>
            <w:vAlign w:val="center"/>
          </w:tcPr>
          <w:p w14:paraId="0C15F1E7">
            <w:pPr>
              <w:widowControl/>
              <w:jc w:val="center"/>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137056BD">
            <w:pPr>
              <w:widowControl/>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cs="Times New Roman" w:hAnsiTheme="minorEastAsia"/>
                <w:b/>
                <w:bCs/>
                <w:color w:val="000000" w:themeColor="text1"/>
                <w:szCs w:val="21"/>
                <w:highlight w:val="none"/>
                <w14:textFill>
                  <w14:solidFill>
                    <w14:schemeClr w14:val="tx1"/>
                  </w14:solidFill>
                </w14:textFill>
              </w:rPr>
              <w:t>电池屏</w:t>
            </w:r>
          </w:p>
        </w:tc>
        <w:tc>
          <w:tcPr>
            <w:tcW w:w="2303" w:type="dxa"/>
            <w:tcBorders>
              <w:top w:val="nil"/>
              <w:left w:val="nil"/>
              <w:bottom w:val="nil"/>
              <w:right w:val="nil"/>
            </w:tcBorders>
            <w:noWrap/>
            <w:vAlign w:val="bottom"/>
          </w:tcPr>
          <w:p w14:paraId="15557584">
            <w:pPr>
              <w:widowControl/>
              <w:wordWrap w:val="0"/>
              <w:jc w:val="left"/>
              <w:rPr>
                <w:rFonts w:ascii="Times New Roman" w:hAnsi="Times New Roman" w:cs="Times New Roman"/>
                <w:b/>
                <w:bCs/>
                <w:color w:val="000000" w:themeColor="text1"/>
                <w:szCs w:val="21"/>
                <w:highlight w:val="none"/>
                <w14:textFill>
                  <w14:solidFill>
                    <w14:schemeClr w14:val="tx1"/>
                  </w14:solidFill>
                </w14:textFill>
              </w:rPr>
            </w:pPr>
          </w:p>
        </w:tc>
        <w:tc>
          <w:tcPr>
            <w:tcW w:w="833" w:type="dxa"/>
            <w:tcBorders>
              <w:top w:val="nil"/>
              <w:left w:val="single" w:color="auto" w:sz="4" w:space="0"/>
              <w:bottom w:val="single" w:color="auto" w:sz="4" w:space="0"/>
              <w:right w:val="single" w:color="auto" w:sz="4" w:space="0"/>
            </w:tcBorders>
            <w:noWrap/>
            <w:vAlign w:val="bottom"/>
          </w:tcPr>
          <w:p w14:paraId="431FFBA1">
            <w:pPr>
              <w:widowControl/>
              <w:jc w:val="center"/>
              <w:rPr>
                <w:rFonts w:ascii="Times New Roman" w:hAnsi="Times New Roman" w:cs="Times New Roman"/>
                <w:color w:val="000000" w:themeColor="text1"/>
                <w:szCs w:val="21"/>
                <w:highlight w:val="none"/>
                <w14:textFill>
                  <w14:solidFill>
                    <w14:schemeClr w14:val="tx1"/>
                  </w14:solidFill>
                </w14:textFill>
              </w:rPr>
            </w:pPr>
          </w:p>
        </w:tc>
        <w:tc>
          <w:tcPr>
            <w:tcW w:w="992" w:type="dxa"/>
            <w:tcBorders>
              <w:top w:val="nil"/>
              <w:left w:val="nil"/>
              <w:bottom w:val="single" w:color="auto" w:sz="4" w:space="0"/>
              <w:right w:val="single" w:color="auto" w:sz="4" w:space="0"/>
            </w:tcBorders>
            <w:noWrap/>
            <w:vAlign w:val="bottom"/>
          </w:tcPr>
          <w:p w14:paraId="32DB2337">
            <w:pPr>
              <w:widowControl/>
              <w:jc w:val="center"/>
              <w:rPr>
                <w:rFonts w:ascii="Times New Roman" w:hAnsi="Times New Roman" w:cs="Times New Roman"/>
                <w:color w:val="000000" w:themeColor="text1"/>
                <w:szCs w:val="21"/>
                <w:highlight w:val="none"/>
                <w14:textFill>
                  <w14:solidFill>
                    <w14:schemeClr w14:val="tx1"/>
                  </w14:solidFill>
                </w14:textFill>
              </w:rPr>
            </w:pPr>
          </w:p>
        </w:tc>
        <w:tc>
          <w:tcPr>
            <w:tcW w:w="1182" w:type="dxa"/>
            <w:tcBorders>
              <w:top w:val="nil"/>
              <w:left w:val="nil"/>
              <w:bottom w:val="single" w:color="auto" w:sz="4" w:space="0"/>
              <w:right w:val="single" w:color="auto" w:sz="4" w:space="0"/>
            </w:tcBorders>
            <w:noWrap/>
            <w:vAlign w:val="bottom"/>
          </w:tcPr>
          <w:p w14:paraId="1F68E069">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bottom"/>
          </w:tcPr>
          <w:p w14:paraId="0D9A16F8">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3FECCCA2">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480972B9">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619874C8">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noWrap/>
            <w:vAlign w:val="center"/>
          </w:tcPr>
          <w:p w14:paraId="7C488FE1">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系统柜体</w:t>
            </w:r>
          </w:p>
        </w:tc>
        <w:tc>
          <w:tcPr>
            <w:tcW w:w="2303" w:type="dxa"/>
            <w:tcBorders>
              <w:top w:val="single" w:color="auto" w:sz="4" w:space="0"/>
              <w:left w:val="nil"/>
              <w:bottom w:val="single" w:color="auto" w:sz="4" w:space="0"/>
              <w:right w:val="single" w:color="auto" w:sz="4" w:space="0"/>
            </w:tcBorders>
            <w:vAlign w:val="center"/>
          </w:tcPr>
          <w:p w14:paraId="411342B8">
            <w:pPr>
              <w:widowControl/>
              <w:wordWrap w:val="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2260*800*600mm</w:t>
            </w:r>
            <w:r>
              <w:rPr>
                <w:rFonts w:ascii="Times New Roman" w:cs="Times New Roman" w:hAnsiTheme="minorEastAsia"/>
                <w:color w:val="000000" w:themeColor="text1"/>
                <w:szCs w:val="21"/>
                <w:highlight w:val="none"/>
                <w14:textFill>
                  <w14:solidFill>
                    <w14:schemeClr w14:val="tx1"/>
                  </w14:solidFill>
                </w14:textFill>
              </w:rPr>
              <w:t>（含线缆辅材）。</w:t>
            </w:r>
          </w:p>
        </w:tc>
        <w:tc>
          <w:tcPr>
            <w:tcW w:w="833" w:type="dxa"/>
            <w:tcBorders>
              <w:top w:val="nil"/>
              <w:left w:val="nil"/>
              <w:bottom w:val="single" w:color="auto" w:sz="4" w:space="0"/>
              <w:right w:val="single" w:color="auto" w:sz="4" w:space="0"/>
            </w:tcBorders>
            <w:noWrap/>
            <w:vAlign w:val="center"/>
          </w:tcPr>
          <w:p w14:paraId="4A4F8CE1">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0CB48A0B">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6C3723B3">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38C56EED">
            <w:pPr>
              <w:widowControl/>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57EEA8E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r w14:paraId="20F25DDC">
        <w:tblPrEx>
          <w:tblCellMar>
            <w:top w:w="0" w:type="dxa"/>
            <w:left w:w="108" w:type="dxa"/>
            <w:bottom w:w="0" w:type="dxa"/>
            <w:right w:w="108" w:type="dxa"/>
          </w:tblCellMar>
        </w:tblPrEx>
        <w:trPr>
          <w:cantSplit/>
          <w:trHeight w:val="453" w:hRule="atLeast"/>
        </w:trPr>
        <w:tc>
          <w:tcPr>
            <w:tcW w:w="709" w:type="dxa"/>
            <w:tcBorders>
              <w:top w:val="nil"/>
              <w:left w:val="single" w:color="auto" w:sz="4" w:space="0"/>
              <w:bottom w:val="single" w:color="auto" w:sz="4" w:space="0"/>
              <w:right w:val="single" w:color="auto" w:sz="4" w:space="0"/>
            </w:tcBorders>
            <w:noWrap/>
            <w:vAlign w:val="bottom"/>
          </w:tcPr>
          <w:p w14:paraId="466B969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400" w:type="dxa"/>
            <w:tcBorders>
              <w:top w:val="nil"/>
              <w:left w:val="nil"/>
              <w:bottom w:val="single" w:color="auto" w:sz="4" w:space="0"/>
              <w:right w:val="single" w:color="auto" w:sz="4" w:space="0"/>
            </w:tcBorders>
            <w:vAlign w:val="center"/>
          </w:tcPr>
          <w:p w14:paraId="476ECE88">
            <w:pPr>
              <w:widowControl/>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cs="Times New Roman" w:hAnsiTheme="minorEastAsia"/>
                <w:b/>
                <w:color w:val="000000" w:themeColor="text1"/>
                <w:szCs w:val="21"/>
                <w:highlight w:val="none"/>
                <w14:textFill>
                  <w14:solidFill>
                    <w14:schemeClr w14:val="tx1"/>
                  </w14:solidFill>
                </w14:textFill>
              </w:rPr>
              <w:t>小计</w:t>
            </w:r>
          </w:p>
        </w:tc>
        <w:tc>
          <w:tcPr>
            <w:tcW w:w="2303" w:type="dxa"/>
            <w:tcBorders>
              <w:top w:val="nil"/>
              <w:left w:val="nil"/>
              <w:bottom w:val="single" w:color="auto" w:sz="4" w:space="0"/>
              <w:right w:val="single" w:color="auto" w:sz="4" w:space="0"/>
            </w:tcBorders>
            <w:noWrap/>
            <w:vAlign w:val="bottom"/>
          </w:tcPr>
          <w:p w14:paraId="4345530C">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833" w:type="dxa"/>
            <w:tcBorders>
              <w:top w:val="nil"/>
              <w:left w:val="nil"/>
              <w:bottom w:val="single" w:color="auto" w:sz="4" w:space="0"/>
              <w:right w:val="single" w:color="auto" w:sz="4" w:space="0"/>
            </w:tcBorders>
            <w:noWrap/>
            <w:vAlign w:val="bottom"/>
          </w:tcPr>
          <w:p w14:paraId="288E6248">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793D5BB4">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1182" w:type="dxa"/>
            <w:tcBorders>
              <w:top w:val="nil"/>
              <w:left w:val="nil"/>
              <w:bottom w:val="single" w:color="auto" w:sz="4" w:space="0"/>
              <w:right w:val="single" w:color="auto" w:sz="4" w:space="0"/>
            </w:tcBorders>
            <w:noWrap/>
            <w:vAlign w:val="bottom"/>
          </w:tcPr>
          <w:p w14:paraId="531F88BA">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bottom"/>
          </w:tcPr>
          <w:p w14:paraId="1EE205C6">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27E86098">
            <w:pPr>
              <w:widowControl/>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cs="Times New Roman" w:hAnsiTheme="minorEastAsia"/>
                <w:color w:val="000000" w:themeColor="text1"/>
                <w:szCs w:val="21"/>
                <w:highlight w:val="none"/>
                <w14:textFill>
                  <w14:solidFill>
                    <w14:schemeClr w14:val="tx1"/>
                  </w14:solidFill>
                </w14:textFill>
              </w:rPr>
              <w:t>　</w:t>
            </w:r>
          </w:p>
        </w:tc>
      </w:tr>
    </w:tbl>
    <w:p w14:paraId="1642FB4C">
      <w:pPr>
        <w:widowControl/>
        <w:jc w:val="left"/>
        <w:textAlignment w:val="center"/>
        <w:rPr>
          <w:rFonts w:ascii="宋体" w:hAnsi="宋体" w:eastAsia="宋体" w:cs="宋体"/>
          <w:color w:val="000000" w:themeColor="text1"/>
          <w:sz w:val="20"/>
          <w:szCs w:val="20"/>
          <w:highlight w:val="none"/>
          <w14:textFill>
            <w14:solidFill>
              <w14:schemeClr w14:val="tx1"/>
            </w14:solidFill>
          </w14:textFill>
        </w:rPr>
      </w:pPr>
    </w:p>
    <w:p w14:paraId="57DAA417">
      <w:pPr>
        <w:spacing w:line="360" w:lineRule="auto"/>
        <w:outlineLvl w:val="1"/>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四、技术参数</w:t>
      </w:r>
    </w:p>
    <w:p w14:paraId="748EBDF1">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4.1 PLC</w:t>
      </w:r>
    </w:p>
    <w:p w14:paraId="52C865FD">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PLC选用具有成熟技术的产品，控制器及其IO模块合国家相关标准。</w:t>
      </w:r>
    </w:p>
    <w:p w14:paraId="2DF46C3C">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控制系统采用模块式结构设计，保证良好的机械物理性能，各种插槽式模块应符合完全的无风扇设计要求，模块外壳非金属，系统包括电源模块、控制器模块、接口模块、通讯模块、IO模块等组成等。</w:t>
      </w:r>
    </w:p>
    <w:p w14:paraId="7B5F9F6A">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系统支持Modbus-RTU、Modbus-TCP、Profibus-DP、Profinet、UCP等通讯协议，可方便的接入现场各类主流通讯协议的智能设备，且通讯模块支持冗余架构。</w:t>
      </w:r>
    </w:p>
    <w:p w14:paraId="70A227C1">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控制系统为背板式结构，背板具备冗余供电和冗余通讯功能，背板总线通讯速率不低于128M。</w:t>
      </w:r>
    </w:p>
    <w:p w14:paraId="633E2D26">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控制系统各模块必须是经过特殊的涂覆处理，能防潮性、抗酸性和腐蚀性，符合工业环境中使用标准，符合GB/T 10125，满足G3防腐等级。</w:t>
      </w:r>
    </w:p>
    <w:p w14:paraId="347A68FE">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PLC采用单机控制系统，PLC支持DI点数≥8192、支持DO点数≥8192、AI点数≥4096、支持AO点数≥4096。</w:t>
      </w:r>
    </w:p>
    <w:p w14:paraId="5C3629DA">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为保障系统的带电可维护性，避免出现带电插拔模块导致模块烧毁或故障，PLC所有模块必须支持带电插拔，单模块插拔时信号无跳变，其他模块信号无异常。</w:t>
      </w:r>
    </w:p>
    <w:p w14:paraId="6991E184">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PLC模块必须带通道指示以便于故障诊断与检修，模块硬件具备模块工作的指示灯，支持面板指示灯显示模块的工作状态。</w:t>
      </w:r>
    </w:p>
    <w:p w14:paraId="6A00C55B">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PLC 编程软件应支持功能块图、梯形图、顺控图、ST 语言四种编程语言，符合GB/T15969.3标准要求。</w:t>
      </w:r>
    </w:p>
    <w:p w14:paraId="17A57324">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整套控制系统中的所有模块间具备兼容性和互操作性。</w:t>
      </w:r>
    </w:p>
    <w:p w14:paraId="17D22A0F">
      <w:pPr>
        <w:spacing w:line="360" w:lineRule="auto"/>
        <w:ind w:firstLine="482" w:firstLineChars="200"/>
        <w:contextualSpacing/>
        <w:rPr>
          <w:rFonts w:cs="宋体" w:asciiTheme="minorEastAsia" w:hAnsiTheme="minorEastAsia"/>
          <w:b/>
          <w:bCs/>
          <w:color w:val="000000" w:themeColor="text1"/>
          <w:sz w:val="24"/>
          <w:highlight w:val="none"/>
          <w14:textFill>
            <w14:solidFill>
              <w14:schemeClr w14:val="tx1"/>
            </w14:solidFill>
          </w14:textFill>
        </w:rPr>
      </w:pPr>
      <w:r>
        <w:rPr>
          <w:rFonts w:hint="eastAsia" w:cs="宋体" w:asciiTheme="minorEastAsia" w:hAnsiTheme="minorEastAsia"/>
          <w:b/>
          <w:bCs/>
          <w:color w:val="000000" w:themeColor="text1"/>
          <w:sz w:val="24"/>
          <w:highlight w:val="none"/>
          <w14:textFill>
            <w14:solidFill>
              <w14:schemeClr w14:val="tx1"/>
            </w14:solidFill>
          </w14:textFill>
        </w:rPr>
        <w:t>(1）CPU</w:t>
      </w:r>
    </w:p>
    <w:p w14:paraId="73EA2800">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采用32位工业级处理器芯片，芯片主频不低于1GHZ,集成内存1G，程序和数据内存64M，支持32G SD卡扩展。</w:t>
      </w:r>
    </w:p>
    <w:p w14:paraId="2ABCB894">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控制器自带两路独立IP的以太网口。</w:t>
      </w:r>
    </w:p>
    <w:p w14:paraId="381C2803">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控制器内置非易失性内存，无需通过电池即可实现在掉电的情况下存储程序和数据。</w:t>
      </w:r>
    </w:p>
    <w:p w14:paraId="7935B60F">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支持多任务编程，包括循环任务、周期任务、事件任务、启动任务等，最大可支持256个子程序。</w:t>
      </w:r>
    </w:p>
    <w:p w14:paraId="6FD4597C">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支持程序在线下载和程序回读功能。</w:t>
      </w:r>
    </w:p>
    <w:p w14:paraId="4FEA61B5">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控制器自带液晶显示屏，可进行IP和诊断信息查询。</w:t>
      </w:r>
    </w:p>
    <w:p w14:paraId="20CAA189">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具有故障报警和“看门狗”功能。</w:t>
      </w:r>
    </w:p>
    <w:p w14:paraId="61A3728C">
      <w:pPr>
        <w:tabs>
          <w:tab w:val="left" w:pos="720"/>
        </w:tabs>
        <w:spacing w:line="360" w:lineRule="auto"/>
        <w:ind w:firstLine="480" w:firstLineChars="200"/>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CPU具有密码保护功能，支持程序的远程维护。</w:t>
      </w:r>
    </w:p>
    <w:p w14:paraId="28658053">
      <w:pPr>
        <w:spacing w:line="360" w:lineRule="auto"/>
        <w:ind w:firstLine="482" w:firstLineChars="200"/>
        <w:contextualSpacing/>
        <w:rPr>
          <w:rFonts w:cs="宋体" w:asciiTheme="minorEastAsia" w:hAnsiTheme="minorEastAsia"/>
          <w:b/>
          <w:bCs/>
          <w:color w:val="000000" w:themeColor="text1"/>
          <w:sz w:val="24"/>
          <w:highlight w:val="none"/>
          <w14:textFill>
            <w14:solidFill>
              <w14:schemeClr w14:val="tx1"/>
            </w14:solidFill>
          </w14:textFill>
        </w:rPr>
      </w:pPr>
      <w:r>
        <w:rPr>
          <w:rFonts w:hint="eastAsia" w:cs="宋体" w:asciiTheme="minorEastAsia" w:hAnsiTheme="minorEastAsia"/>
          <w:b/>
          <w:bCs/>
          <w:color w:val="000000" w:themeColor="text1"/>
          <w:sz w:val="24"/>
          <w:highlight w:val="none"/>
          <w14:textFill>
            <w14:solidFill>
              <w14:schemeClr w14:val="tx1"/>
            </w14:solidFill>
          </w14:textFill>
        </w:rPr>
        <w:t>IO模块</w:t>
      </w:r>
    </w:p>
    <w:p w14:paraId="096E336C">
      <w:pPr>
        <w:pStyle w:val="627"/>
        <w:numPr>
          <w:ilvl w:val="0"/>
          <w:numId w:val="4"/>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模块具有诊断指示灯，每一路信号输出均应有LED状态指示，支持通道异常报警指示功能。</w:t>
      </w:r>
    </w:p>
    <w:p w14:paraId="5365E6A4">
      <w:pPr>
        <w:pStyle w:val="627"/>
        <w:numPr>
          <w:ilvl w:val="0"/>
          <w:numId w:val="4"/>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模块接线端子可自由拆卸</w:t>
      </w:r>
    </w:p>
    <w:p w14:paraId="2DF1CD1D">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IO模块通道侧和背板侧之间隔离耐压≥1000VAC。</w:t>
      </w:r>
    </w:p>
    <w:p w14:paraId="1F2C3EBC">
      <w:pPr>
        <w:pStyle w:val="627"/>
        <w:ind w:firstLine="482" w:firstLineChars="200"/>
        <w:contextualSpacing/>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开关量输入（DI）</w:t>
      </w:r>
    </w:p>
    <w:p w14:paraId="6DAE60A1">
      <w:pPr>
        <w:pStyle w:val="627"/>
        <w:numPr>
          <w:ilvl w:val="0"/>
          <w:numId w:val="6"/>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具有接点防抖动过滤措施，以防止因触点抖动造成误操作，每通道滤波时间可独立配置。</w:t>
      </w:r>
    </w:p>
    <w:p w14:paraId="4ABA23A6">
      <w:pPr>
        <w:pStyle w:val="627"/>
        <w:numPr>
          <w:ilvl w:val="0"/>
          <w:numId w:val="6"/>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16点、32点。</w:t>
      </w:r>
    </w:p>
    <w:p w14:paraId="5A5B19AE">
      <w:pPr>
        <w:pStyle w:val="627"/>
        <w:ind w:firstLine="482" w:firstLineChars="200"/>
        <w:contextualSpacing/>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开关量输出（DO）</w:t>
      </w:r>
    </w:p>
    <w:p w14:paraId="08BB10E5">
      <w:pPr>
        <w:pStyle w:val="627"/>
        <w:numPr>
          <w:ilvl w:val="0"/>
          <w:numId w:val="4"/>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通道具备反极性保护功能。</w:t>
      </w:r>
    </w:p>
    <w:p w14:paraId="4DEE22D2">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每个通道支持故障安全功能，可在软件中配置成输出保持或按预制值输出。</w:t>
      </w:r>
    </w:p>
    <w:p w14:paraId="1ED6BC76">
      <w:pPr>
        <w:pStyle w:val="627"/>
        <w:numPr>
          <w:ilvl w:val="0"/>
          <w:numId w:val="6"/>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16点、32点。</w:t>
      </w:r>
    </w:p>
    <w:p w14:paraId="4CB250DB">
      <w:pPr>
        <w:pStyle w:val="627"/>
        <w:ind w:firstLine="482" w:firstLineChars="200"/>
        <w:contextualSpacing/>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模拟量输入（AI）</w:t>
      </w:r>
    </w:p>
    <w:p w14:paraId="1CE288D2">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电流信号的模拟量输入为4</w:t>
      </w:r>
      <w:r>
        <w:rPr>
          <w:rFonts w:hint="eastAsia" w:cs="宋体" w:asciiTheme="minorEastAsia" w:hAnsiTheme="minorEastAsia" w:eastAsiaTheme="minorEastAsia"/>
          <w:color w:val="000000" w:themeColor="text1"/>
          <w:sz w:val="24"/>
          <w:highlight w:val="none"/>
          <w:vertAlign w:val="subscript"/>
          <w14:textFill>
            <w14:solidFill>
              <w14:schemeClr w14:val="tx1"/>
            </w14:solidFill>
          </w14:textFill>
        </w:rPr>
        <w:t>~</w:t>
      </w:r>
      <w:r>
        <w:rPr>
          <w:rFonts w:hint="eastAsia" w:cs="宋体" w:asciiTheme="minorEastAsia" w:hAnsiTheme="minorEastAsia" w:eastAsiaTheme="minorEastAsia"/>
          <w:color w:val="000000" w:themeColor="text1"/>
          <w:sz w:val="24"/>
          <w:highlight w:val="none"/>
          <w14:textFill>
            <w14:solidFill>
              <w14:schemeClr w14:val="tx1"/>
            </w14:solidFill>
          </w14:textFill>
        </w:rPr>
        <w:t>20mA、0-10mA。</w:t>
      </w:r>
    </w:p>
    <w:p w14:paraId="554596DE">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A/D转换分辨率应≥16位。</w:t>
      </w:r>
    </w:p>
    <w:p w14:paraId="74B92018">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最大转换误差（25℃）：满量程±0.1%；</w:t>
      </w:r>
    </w:p>
    <w:p w14:paraId="3BBF3E79">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模拟量输入模块的每一输入回路均应具有传感器断线监视功能。</w:t>
      </w:r>
    </w:p>
    <w:p w14:paraId="19BECABC">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模块具有自由量程功能，每个通道在量程范围内可自由组态配置。</w:t>
      </w:r>
    </w:p>
    <w:p w14:paraId="7CBB8FB9">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模块每通道均支持反极性保护、短路保护、断线检测功能。</w:t>
      </w:r>
    </w:p>
    <w:p w14:paraId="733AC77E">
      <w:pPr>
        <w:pStyle w:val="627"/>
        <w:numPr>
          <w:ilvl w:val="0"/>
          <w:numId w:val="5"/>
        </w:numPr>
        <w:ind w:left="0" w:firstLine="480" w:firstLineChars="200"/>
        <w:contextualSpacing/>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8点。</w:t>
      </w:r>
    </w:p>
    <w:p w14:paraId="063E454C">
      <w:pPr>
        <w:tabs>
          <w:tab w:val="left" w:pos="360"/>
        </w:tabs>
        <w:spacing w:line="360" w:lineRule="auto"/>
        <w:ind w:firstLine="482" w:firstLineChars="200"/>
        <w:rPr>
          <w:rFonts w:asciiTheme="minorEastAsia" w:hAnsiTheme="minorEastAsia"/>
          <w:b/>
          <w:bCs/>
          <w:color w:val="000000" w:themeColor="text1"/>
          <w:sz w:val="24"/>
          <w:highlight w:val="none"/>
          <w14:textFill>
            <w14:solidFill>
              <w14:schemeClr w14:val="tx1"/>
            </w14:solidFill>
          </w14:textFill>
        </w:rPr>
      </w:pPr>
      <w:bookmarkStart w:id="61" w:name="OLE_LINK19"/>
      <w:r>
        <w:rPr>
          <w:rFonts w:hint="eastAsia" w:cs="宋体" w:asciiTheme="minorEastAsia" w:hAnsiTheme="minorEastAsia"/>
          <w:b/>
          <w:bCs/>
          <w:color w:val="000000" w:themeColor="text1"/>
          <w:sz w:val="24"/>
          <w:highlight w:val="none"/>
          <w14:textFill>
            <w14:solidFill>
              <w14:schemeClr w14:val="tx1"/>
            </w14:solidFill>
          </w14:textFill>
        </w:rPr>
        <w:t>(2）</w:t>
      </w:r>
      <w:r>
        <w:rPr>
          <w:rFonts w:hint="eastAsia" w:asciiTheme="minorEastAsia" w:hAnsiTheme="minorEastAsia"/>
          <w:b/>
          <w:bCs/>
          <w:color w:val="000000" w:themeColor="text1"/>
          <w:sz w:val="24"/>
          <w:highlight w:val="none"/>
          <w14:textFill>
            <w14:solidFill>
              <w14:schemeClr w14:val="tx1"/>
            </w14:solidFill>
          </w14:textFill>
        </w:rPr>
        <w:t>触摸屏</w:t>
      </w:r>
    </w:p>
    <w:bookmarkEnd w:id="61"/>
    <w:p w14:paraId="1CD17CD8">
      <w:pPr>
        <w:adjustRightInd w:val="0"/>
        <w:snapToGrid w:val="0"/>
        <w:spacing w:line="360" w:lineRule="auto"/>
        <w:ind w:firstLine="480" w:firstLineChars="200"/>
        <w:rPr>
          <w:rFonts w:cs="宋体" w:asciiTheme="minorEastAsia" w:hAnsiTheme="minorEastAsia"/>
          <w:color w:val="000000" w:themeColor="text1"/>
          <w:kern w:val="2"/>
          <w:sz w:val="24"/>
          <w:szCs w:val="24"/>
          <w:highlight w:val="none"/>
          <w14:textFill>
            <w14:solidFill>
              <w14:schemeClr w14:val="tx1"/>
            </w14:solidFill>
          </w14:textFill>
        </w:rPr>
      </w:pPr>
      <w:bookmarkStart w:id="62" w:name="OLE_LINK8"/>
      <w:r>
        <w:rPr>
          <w:rFonts w:hint="eastAsia" w:asciiTheme="minorEastAsia" w:hAnsiTheme="minorEastAsia"/>
          <w:color w:val="000000" w:themeColor="text1"/>
          <w:sz w:val="24"/>
          <w:highlight w:val="none"/>
          <w14:textFill>
            <w14:solidFill>
              <w14:schemeClr w14:val="tx1"/>
            </w14:solidFill>
          </w14:textFill>
        </w:rPr>
        <w:t>采用≥15寸 16:9 TFT LCD触摸屏，分辨率1920×1080，≥1 路 10M/100M 自适应以太网接口，≥1 路串行通讯接口，工作温度0~50℃，触摸屏前面板符合 IP65，机身后壳符合IP20。</w:t>
      </w:r>
      <w:bookmarkEnd w:id="62"/>
    </w:p>
    <w:p w14:paraId="60596ECD">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4.2继电保护装置</w:t>
      </w:r>
    </w:p>
    <w:p w14:paraId="27473522">
      <w:pPr>
        <w:spacing w:line="360" w:lineRule="auto"/>
        <w:ind w:firstLine="482" w:firstLineChars="200"/>
        <w:outlineLvl w:val="3"/>
        <w:rPr>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highlight w:val="none"/>
          <w14:textFill>
            <w14:solidFill>
              <w14:schemeClr w14:val="tx1"/>
            </w14:solidFill>
          </w14:textFill>
        </w:rPr>
        <w:t>(1）</w:t>
      </w:r>
      <w:r>
        <w:rPr>
          <w:rFonts w:hint="eastAsia"/>
          <w:b/>
          <w:bCs/>
          <w:color w:val="000000" w:themeColor="text1"/>
          <w:sz w:val="24"/>
          <w:szCs w:val="24"/>
          <w:highlight w:val="none"/>
          <w14:textFill>
            <w14:solidFill>
              <w14:schemeClr w14:val="tx1"/>
            </w14:solidFill>
          </w14:textFill>
        </w:rPr>
        <w:t>性能以及参数要求</w:t>
      </w:r>
    </w:p>
    <w:p w14:paraId="60DA09BB">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高性能的通用型硬件，实时计算：</w:t>
      </w:r>
      <w:r>
        <w:rPr>
          <w:rFonts w:hint="eastAsia" w:ascii="宋体" w:hAnsi="宋体" w:eastAsia="宋体" w:cs="宋体"/>
          <w:color w:val="000000" w:themeColor="text1"/>
          <w:sz w:val="24"/>
          <w:szCs w:val="24"/>
          <w:highlight w:val="none"/>
          <w14:textFill>
            <w14:solidFill>
              <w14:schemeClr w14:val="tx1"/>
            </w14:solidFill>
          </w14:textFill>
        </w:rPr>
        <w:t xml:space="preserve">采用 32 位高性能的双核处理器，核 1 完成保护运算与出口逻辑，核 2 实现事件记录、故障录波、人机接口、后台通信及打印等功能。高性能的硬件保证装置在每一个采样间隔对所有继电器进行实时计算。 </w:t>
      </w:r>
    </w:p>
    <w:p w14:paraId="110AF607">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双重化采样</w:t>
      </w:r>
      <w:r>
        <w:rPr>
          <w:rFonts w:hint="eastAsia" w:ascii="宋体" w:hAnsi="宋体" w:eastAsia="宋体" w:cs="宋体"/>
          <w:color w:val="000000" w:themeColor="text1"/>
          <w:sz w:val="24"/>
          <w:szCs w:val="24"/>
          <w:highlight w:val="none"/>
          <w14:textFill>
            <w14:solidFill>
              <w14:schemeClr w14:val="tx1"/>
            </w14:solidFill>
          </w14:textFill>
        </w:rPr>
        <w:t xml:space="preserve">：采用双重化采样及互校技术，一路用于保护元件动作行为计算，一路用于开 放出口正电源，确保保护采样的可靠性和保护行为的正确性。 </w:t>
      </w:r>
    </w:p>
    <w:p w14:paraId="6F8492D2">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软件模块化设计</w:t>
      </w:r>
      <w:r>
        <w:rPr>
          <w:rFonts w:hint="eastAsia" w:ascii="宋体" w:hAnsi="宋体" w:eastAsia="宋体" w:cs="宋体"/>
          <w:color w:val="000000" w:themeColor="text1"/>
          <w:sz w:val="24"/>
          <w:szCs w:val="24"/>
          <w:highlight w:val="none"/>
          <w14:textFill>
            <w14:solidFill>
              <w14:schemeClr w14:val="tx1"/>
            </w14:solidFill>
          </w14:textFill>
        </w:rPr>
        <w:t xml:space="preserve">：装置提供完备的保护功能，各保护元件按模块化设计，相互独立，可灵活配置。 </w:t>
      </w:r>
    </w:p>
    <w:p w14:paraId="3820C43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通信功能齐全</w:t>
      </w:r>
      <w:r>
        <w:rPr>
          <w:rFonts w:hint="eastAsia" w:ascii="宋体" w:hAnsi="宋体" w:eastAsia="宋体" w:cs="宋体"/>
          <w:color w:val="000000" w:themeColor="text1"/>
          <w:sz w:val="24"/>
          <w:szCs w:val="24"/>
          <w:highlight w:val="none"/>
          <w14:textFill>
            <w14:solidFill>
              <w14:schemeClr w14:val="tx1"/>
            </w14:solidFill>
          </w14:textFill>
        </w:rPr>
        <w:t>：具有灵活的通讯方式，可配 3 个以上 100Mbps 以太网接口，2 个 RS-485 串口， 1 个 RS-232 打印串口。支持电力行业通讯标准 DL/T667-1999（IEC60870-5-103）和 DL/T860（IEC61850）支持 Modbus RTU、Modbus TCP 规约。支持100Mbps、超五类线或光纤通讯接口。</w:t>
      </w:r>
    </w:p>
    <w:p w14:paraId="1483BA82">
      <w:pPr>
        <w:widowControl/>
        <w:spacing w:line="360" w:lineRule="auto"/>
        <w:ind w:firstLine="480" w:firstLineChars="200"/>
        <w:jc w:val="left"/>
        <w:rPr>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工作电源</w:t>
      </w:r>
      <w:r>
        <w:rPr>
          <w:rFonts w:hint="eastAsia" w:ascii="宋体" w:hAnsi="宋体" w:eastAsia="宋体" w:cs="宋体"/>
          <w:color w:val="000000" w:themeColor="text1"/>
          <w:sz w:val="24"/>
          <w:szCs w:val="24"/>
          <w:highlight w:val="none"/>
          <w14:textFill>
            <w14:solidFill>
              <w14:schemeClr w14:val="tx1"/>
            </w14:solidFill>
          </w14:textFill>
        </w:rPr>
        <w:t>：支持交流和直流供电，直电源极性反接时装置正常工作。</w:t>
      </w:r>
    </w:p>
    <w:p w14:paraId="5766AE7C">
      <w:pPr>
        <w:widowControl/>
        <w:spacing w:line="360" w:lineRule="auto"/>
        <w:ind w:firstLine="480"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防护等级</w:t>
      </w:r>
      <w:r>
        <w:rPr>
          <w:rFonts w:hint="eastAsia" w:ascii="宋体" w:hAnsi="宋体" w:eastAsia="宋体" w:cs="宋体"/>
          <w:color w:val="000000" w:themeColor="text1"/>
          <w:sz w:val="24"/>
          <w:szCs w:val="24"/>
          <w:highlight w:val="none"/>
          <w14:textFill>
            <w14:solidFill>
              <w14:schemeClr w14:val="tx1"/>
            </w14:solidFill>
          </w14:textFill>
        </w:rPr>
        <w:t>：前面板 IP50、箱体侧面 IP40、后面板 IP20 (GB 4208-2008)。</w:t>
      </w:r>
    </w:p>
    <w:p w14:paraId="47E64528">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环境标准：</w:t>
      </w:r>
      <w:r>
        <w:rPr>
          <w:rFonts w:hint="eastAsia" w:ascii="宋体" w:hAnsi="宋体" w:eastAsia="宋体" w:cs="宋体"/>
          <w:color w:val="000000" w:themeColor="text1"/>
          <w:sz w:val="24"/>
          <w:szCs w:val="24"/>
          <w:highlight w:val="none"/>
          <w14:textFill>
            <w14:solidFill>
              <w14:schemeClr w14:val="tx1"/>
            </w14:solidFill>
          </w14:textFill>
        </w:rPr>
        <w:t>IEC 60255-1:2009 。</w:t>
      </w:r>
    </w:p>
    <w:p w14:paraId="5F335272">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工作温度范围</w:t>
      </w:r>
      <w:r>
        <w:rPr>
          <w:rFonts w:hint="eastAsia" w:ascii="宋体" w:hAnsi="宋体" w:eastAsia="宋体" w:cs="宋体"/>
          <w:color w:val="000000" w:themeColor="text1"/>
          <w:sz w:val="24"/>
          <w:szCs w:val="24"/>
          <w:highlight w:val="none"/>
          <w14:textFill>
            <w14:solidFill>
              <w14:schemeClr w14:val="tx1"/>
            </w14:solidFill>
          </w14:textFill>
        </w:rPr>
        <w:t xml:space="preserve"> ：-25°C~+55°C 。</w:t>
      </w:r>
    </w:p>
    <w:p w14:paraId="3516984C">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贮存运输温度范围</w:t>
      </w:r>
      <w:r>
        <w:rPr>
          <w:rFonts w:hint="eastAsia" w:ascii="宋体" w:hAnsi="宋体" w:eastAsia="宋体" w:cs="宋体"/>
          <w:color w:val="000000" w:themeColor="text1"/>
          <w:sz w:val="24"/>
          <w:szCs w:val="24"/>
          <w:highlight w:val="none"/>
          <w14:textFill>
            <w14:solidFill>
              <w14:schemeClr w14:val="tx1"/>
            </w14:solidFill>
          </w14:textFill>
        </w:rPr>
        <w:t xml:space="preserve"> ：-40°C~+70°C 。</w:t>
      </w:r>
    </w:p>
    <w:p w14:paraId="51B181A6">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相对湿度</w:t>
      </w:r>
      <w:r>
        <w:rPr>
          <w:rFonts w:hint="eastAsia" w:ascii="宋体" w:hAnsi="宋体" w:eastAsia="宋体" w:cs="宋体"/>
          <w:color w:val="000000" w:themeColor="text1"/>
          <w:sz w:val="24"/>
          <w:szCs w:val="24"/>
          <w:highlight w:val="none"/>
          <w14:textFill>
            <w14:solidFill>
              <w14:schemeClr w14:val="tx1"/>
            </w14:solidFill>
          </w14:textFill>
        </w:rPr>
        <w:t xml:space="preserve"> ：5%~95%，设备内部不凝露、不结冰。</w:t>
      </w:r>
    </w:p>
    <w:p w14:paraId="355D4323">
      <w:pPr>
        <w:widowControl/>
        <w:spacing w:line="360" w:lineRule="auto"/>
        <w:ind w:firstLine="482" w:firstLineChars="200"/>
        <w:jc w:val="left"/>
        <w:outlineLvl w:val="3"/>
        <w:rPr>
          <w:rFonts w:ascii="宋体" w:hAnsi="宋体" w:cs="宋体"/>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highlight w:val="none"/>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型式试验</w:t>
      </w:r>
    </w:p>
    <w:p w14:paraId="4C31F7A0">
      <w:pPr>
        <w:widowControl/>
        <w:spacing w:line="360" w:lineRule="auto"/>
        <w:ind w:firstLine="474" w:firstLineChars="200"/>
        <w:jc w:val="left"/>
        <w:outlineLvl w:val="4"/>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1)</w:t>
      </w:r>
      <w:r>
        <w:rPr>
          <w:rFonts w:ascii="宋体" w:hAnsi="宋体" w:eastAsia="宋体" w:cs="宋体"/>
          <w:b/>
          <w:bCs/>
          <w:color w:val="000000" w:themeColor="text1"/>
          <w:spacing w:val="-2"/>
          <w:sz w:val="24"/>
          <w:szCs w:val="24"/>
          <w:highlight w:val="none"/>
          <w14:textFill>
            <w14:solidFill>
              <w14:schemeClr w14:val="tx1"/>
            </w14:solidFill>
          </w14:textFill>
        </w:rPr>
        <w:t>环境试验</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4B0C2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2380" w:type="dxa"/>
            <w:vAlign w:val="center"/>
          </w:tcPr>
          <w:p w14:paraId="4634AF6D">
            <w:pPr>
              <w:pStyle w:val="250"/>
              <w:spacing w:after="0"/>
              <w:ind w:left="115"/>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1"/>
                <w:sz w:val="21"/>
                <w:szCs w:val="21"/>
                <w:highlight w:val="none"/>
                <w14:textFill>
                  <w14:solidFill>
                    <w14:schemeClr w14:val="tx1"/>
                  </w14:solidFill>
                </w14:textFill>
              </w:rPr>
              <w:t>低温试验</w:t>
            </w:r>
          </w:p>
        </w:tc>
        <w:tc>
          <w:tcPr>
            <w:tcW w:w="6911" w:type="dxa"/>
            <w:vAlign w:val="center"/>
          </w:tcPr>
          <w:p w14:paraId="060A1B9A">
            <w:pPr>
              <w:pStyle w:val="250"/>
              <w:spacing w:after="0"/>
              <w:ind w:left="113"/>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1"/>
                <w:sz w:val="21"/>
                <w:szCs w:val="21"/>
                <w:highlight w:val="none"/>
                <w14:textFill>
                  <w14:solidFill>
                    <w14:schemeClr w14:val="tx1"/>
                  </w14:solidFill>
                </w14:textFill>
              </w:rPr>
              <w:t>GB/T 2423.1-2008 低温</w:t>
            </w: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 xml:space="preserve"> -25°C 下</w:t>
            </w:r>
            <w:r>
              <w:rPr>
                <w:rFonts w:hint="eastAsia" w:cs="宋体" w:asciiTheme="minorEastAsia" w:hAnsiTheme="minorEastAsia" w:eastAsiaTheme="minorEastAsia"/>
                <w:color w:val="000000" w:themeColor="text1"/>
                <w:spacing w:val="-32"/>
                <w:sz w:val="2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16 小时</w:t>
            </w:r>
          </w:p>
        </w:tc>
      </w:tr>
      <w:tr w14:paraId="404C8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2380" w:type="dxa"/>
            <w:vAlign w:val="center"/>
          </w:tcPr>
          <w:p w14:paraId="35358B63">
            <w:pPr>
              <w:pStyle w:val="250"/>
              <w:spacing w:after="0"/>
              <w:ind w:left="121"/>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3"/>
                <w:sz w:val="21"/>
                <w:szCs w:val="21"/>
                <w:highlight w:val="none"/>
                <w14:textFill>
                  <w14:solidFill>
                    <w14:schemeClr w14:val="tx1"/>
                  </w14:solidFill>
                </w14:textFill>
              </w:rPr>
              <w:t>高温试验</w:t>
            </w:r>
          </w:p>
        </w:tc>
        <w:tc>
          <w:tcPr>
            <w:tcW w:w="6911" w:type="dxa"/>
            <w:vAlign w:val="center"/>
          </w:tcPr>
          <w:p w14:paraId="46ACCE86">
            <w:pPr>
              <w:pStyle w:val="250"/>
              <w:spacing w:after="0"/>
              <w:ind w:left="113"/>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GB/T 2423.2-2008 高温 +55°C</w:t>
            </w:r>
            <w:r>
              <w:rPr>
                <w:rFonts w:hint="eastAsia" w:cs="宋体" w:asciiTheme="minorEastAsia" w:hAnsiTheme="minorEastAsia" w:eastAsiaTheme="minorEastAsia"/>
                <w:color w:val="000000" w:themeColor="text1"/>
                <w:spacing w:val="10"/>
                <w:sz w:val="2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下</w:t>
            </w:r>
            <w:r>
              <w:rPr>
                <w:rFonts w:hint="eastAsia" w:cs="宋体" w:asciiTheme="minorEastAsia" w:hAnsiTheme="minorEastAsia" w:eastAsiaTheme="minorEastAsia"/>
                <w:color w:val="000000" w:themeColor="text1"/>
                <w:spacing w:val="-31"/>
                <w:sz w:val="2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3"/>
                <w:sz w:val="21"/>
                <w:szCs w:val="21"/>
                <w:highlight w:val="none"/>
                <w14:textFill>
                  <w14:solidFill>
                    <w14:schemeClr w14:val="tx1"/>
                  </w14:solidFill>
                </w14:textFill>
              </w:rPr>
              <w:t>16</w:t>
            </w:r>
            <w:r>
              <w:rPr>
                <w:rFonts w:hint="eastAsia" w:cs="宋体" w:asciiTheme="minorEastAsia" w:hAnsiTheme="minorEastAsia" w:eastAsiaTheme="minorEastAsia"/>
                <w:color w:val="000000" w:themeColor="text1"/>
                <w:spacing w:val="8"/>
                <w:sz w:val="2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3"/>
                <w:sz w:val="21"/>
                <w:szCs w:val="21"/>
                <w:highlight w:val="none"/>
                <w14:textFill>
                  <w14:solidFill>
                    <w14:schemeClr w14:val="tx1"/>
                  </w14:solidFill>
                </w14:textFill>
              </w:rPr>
              <w:t>小时</w:t>
            </w:r>
          </w:p>
        </w:tc>
      </w:tr>
      <w:tr w14:paraId="4C7A6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380" w:type="dxa"/>
            <w:vAlign w:val="center"/>
          </w:tcPr>
          <w:p w14:paraId="707F6798">
            <w:pPr>
              <w:pStyle w:val="250"/>
              <w:spacing w:after="0"/>
              <w:ind w:left="120"/>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交变湿热试验</w:t>
            </w:r>
          </w:p>
        </w:tc>
        <w:tc>
          <w:tcPr>
            <w:tcW w:w="6911" w:type="dxa"/>
            <w:vAlign w:val="center"/>
          </w:tcPr>
          <w:p w14:paraId="32DFD50E">
            <w:pPr>
              <w:pStyle w:val="250"/>
              <w:spacing w:after="0"/>
              <w:ind w:left="114" w:right="127" w:hanging="1"/>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1"/>
                <w:sz w:val="21"/>
                <w:szCs w:val="21"/>
                <w:highlight w:val="none"/>
                <w14:textFill>
                  <w14:solidFill>
                    <w14:schemeClr w14:val="tx1"/>
                  </w14:solidFill>
                </w14:textFill>
              </w:rPr>
              <w:t>GB/T</w:t>
            </w:r>
            <w:r>
              <w:rPr>
                <w:rFonts w:hint="eastAsia" w:cs="宋体" w:asciiTheme="minorEastAsia" w:hAnsiTheme="minorEastAsia" w:eastAsiaTheme="minorEastAsia"/>
                <w:color w:val="000000" w:themeColor="text1"/>
                <w:spacing w:val="47"/>
                <w:sz w:val="2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1"/>
                <w:sz w:val="21"/>
                <w:szCs w:val="21"/>
                <w:highlight w:val="none"/>
                <w14:textFill>
                  <w14:solidFill>
                    <w14:schemeClr w14:val="tx1"/>
                  </w14:solidFill>
                </w14:textFill>
              </w:rPr>
              <w:t>2423.4-2008  高温 55°C，低温 25°C，相对湿度 95%</w:t>
            </w:r>
            <w:r>
              <w:rPr>
                <w:rFonts w:hint="eastAsia" w:cs="宋体" w:asciiTheme="minorEastAsia" w:hAnsiTheme="minorEastAsia" w:eastAsiaTheme="minorEastAsia"/>
                <w:color w:val="000000" w:themeColor="text1"/>
                <w:spacing w:val="-2"/>
                <w:sz w:val="21"/>
                <w:szCs w:val="21"/>
                <w:highlight w:val="none"/>
                <w14:textFill>
                  <w14:solidFill>
                    <w14:schemeClr w14:val="tx1"/>
                  </w14:solidFill>
                </w14:textFill>
              </w:rPr>
              <w:t>，试验时间</w:t>
            </w:r>
            <w:r>
              <w:rPr>
                <w:rFonts w:hint="eastAsia" w:cs="宋体" w:asciiTheme="minorEastAsia" w:hAnsiTheme="minorEastAsia" w:eastAsiaTheme="minorEastAsia"/>
                <w:color w:val="000000" w:themeColor="text1"/>
                <w:spacing w:val="-1"/>
                <w:sz w:val="21"/>
                <w:szCs w:val="21"/>
                <w:highlight w:val="none"/>
                <w14:textFill>
                  <w14:solidFill>
                    <w14:schemeClr w14:val="tx1"/>
                  </w14:solidFill>
                </w14:textFill>
              </w:rPr>
              <w:t>(12h+12h)的两个循环</w:t>
            </w:r>
          </w:p>
        </w:tc>
      </w:tr>
    </w:tbl>
    <w:p w14:paraId="0D43EC4A">
      <w:pPr>
        <w:widowControl/>
        <w:spacing w:line="360" w:lineRule="auto"/>
        <w:ind w:left="425"/>
        <w:jc w:val="left"/>
        <w:outlineLvl w:val="4"/>
        <w:rPr>
          <w:color w:val="000000" w:themeColor="text1"/>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2)</w:t>
      </w:r>
      <w:r>
        <w:rPr>
          <w:rFonts w:ascii="宋体" w:hAnsi="宋体" w:eastAsia="宋体" w:cs="宋体"/>
          <w:b/>
          <w:bCs/>
          <w:color w:val="000000" w:themeColor="text1"/>
          <w:spacing w:val="-2"/>
          <w:sz w:val="24"/>
          <w:szCs w:val="24"/>
          <w:highlight w:val="none"/>
          <w14:textFill>
            <w14:solidFill>
              <w14:schemeClr w14:val="tx1"/>
            </w14:solidFill>
          </w14:textFill>
        </w:rPr>
        <w:t>机械试验</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4B257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380" w:type="dxa"/>
            <w:vAlign w:val="center"/>
          </w:tcPr>
          <w:p w14:paraId="02223079">
            <w:pPr>
              <w:pStyle w:val="250"/>
              <w:spacing w:after="100" w:afterAutospacing="1"/>
              <w:ind w:left="115"/>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振动试验</w:t>
            </w:r>
          </w:p>
        </w:tc>
        <w:tc>
          <w:tcPr>
            <w:tcW w:w="6911" w:type="dxa"/>
            <w:vAlign w:val="center"/>
          </w:tcPr>
          <w:p w14:paraId="5016AD61">
            <w:pPr>
              <w:pStyle w:val="250"/>
              <w:spacing w:after="100" w:afterAutospacing="1"/>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4"/>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4"/>
                <w:sz w:val="21"/>
                <w:szCs w:val="21"/>
                <w:highlight w:val="none"/>
                <w14:textFill>
                  <w14:solidFill>
                    <w14:schemeClr w14:val="tx1"/>
                  </w14:solidFill>
                </w14:textFill>
              </w:rPr>
              <w:t>11287-2000</w:t>
            </w:r>
            <w:r>
              <w:rPr>
                <w:rFonts w:cs="Arial" w:asciiTheme="minorEastAsia" w:hAnsiTheme="minorEastAsia" w:eastAsiaTheme="minorEastAsia"/>
                <w:color w:val="000000" w:themeColor="text1"/>
                <w:spacing w:val="20"/>
                <w:w w:val="10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4"/>
                <w:sz w:val="21"/>
                <w:szCs w:val="21"/>
                <w:highlight w:val="none"/>
                <w14:textFill>
                  <w14:solidFill>
                    <w14:schemeClr w14:val="tx1"/>
                  </w14:solidFill>
                </w14:textFill>
              </w:rPr>
              <w:t xml:space="preserve">1 </w:t>
            </w:r>
            <w:r>
              <w:rPr>
                <w:rFonts w:asciiTheme="minorEastAsia" w:hAnsiTheme="minorEastAsia" w:eastAsiaTheme="minorEastAsia"/>
                <w:color w:val="000000" w:themeColor="text1"/>
                <w:spacing w:val="-4"/>
                <w:sz w:val="21"/>
                <w:szCs w:val="21"/>
                <w:highlight w:val="none"/>
                <w14:textFill>
                  <w14:solidFill>
                    <w14:schemeClr w14:val="tx1"/>
                  </w14:solidFill>
                </w14:textFill>
              </w:rPr>
              <w:t>级</w:t>
            </w:r>
          </w:p>
        </w:tc>
      </w:tr>
      <w:tr w14:paraId="031D2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2380" w:type="dxa"/>
            <w:vAlign w:val="center"/>
          </w:tcPr>
          <w:p w14:paraId="64679F2E">
            <w:pPr>
              <w:pStyle w:val="250"/>
              <w:spacing w:after="100" w:afterAutospacing="1"/>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冲击试验</w:t>
            </w:r>
          </w:p>
        </w:tc>
        <w:tc>
          <w:tcPr>
            <w:tcW w:w="6911" w:type="dxa"/>
            <w:vAlign w:val="center"/>
          </w:tcPr>
          <w:p w14:paraId="55D6478C">
            <w:pPr>
              <w:pStyle w:val="250"/>
              <w:spacing w:after="100" w:afterAutospacing="1"/>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3"/>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18"/>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14537-1993</w:t>
            </w:r>
            <w:r>
              <w:rPr>
                <w:rFonts w:cs="Arial"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1 </w:t>
            </w:r>
            <w:r>
              <w:rPr>
                <w:rFonts w:asciiTheme="minorEastAsia" w:hAnsiTheme="minorEastAsia" w:eastAsiaTheme="minorEastAsia"/>
                <w:color w:val="000000" w:themeColor="text1"/>
                <w:spacing w:val="-3"/>
                <w:sz w:val="21"/>
                <w:szCs w:val="21"/>
                <w:highlight w:val="none"/>
                <w14:textFill>
                  <w14:solidFill>
                    <w14:schemeClr w14:val="tx1"/>
                  </w14:solidFill>
                </w14:textFill>
              </w:rPr>
              <w:t>级</w:t>
            </w:r>
          </w:p>
        </w:tc>
      </w:tr>
      <w:tr w14:paraId="61430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380" w:type="dxa"/>
            <w:vAlign w:val="center"/>
          </w:tcPr>
          <w:p w14:paraId="71E77013">
            <w:pPr>
              <w:pStyle w:val="250"/>
              <w:spacing w:after="100" w:afterAutospacing="1"/>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碰撞试验</w:t>
            </w:r>
          </w:p>
        </w:tc>
        <w:tc>
          <w:tcPr>
            <w:tcW w:w="6911" w:type="dxa"/>
            <w:vAlign w:val="center"/>
          </w:tcPr>
          <w:p w14:paraId="7C58BF61">
            <w:pPr>
              <w:pStyle w:val="250"/>
              <w:spacing w:after="100" w:afterAutospacing="1"/>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3"/>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18"/>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14537-1993</w:t>
            </w:r>
            <w:r>
              <w:rPr>
                <w:rFonts w:cs="Arial"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1 </w:t>
            </w:r>
            <w:r>
              <w:rPr>
                <w:rFonts w:asciiTheme="minorEastAsia" w:hAnsiTheme="minorEastAsia" w:eastAsiaTheme="minorEastAsia"/>
                <w:color w:val="000000" w:themeColor="text1"/>
                <w:spacing w:val="-3"/>
                <w:sz w:val="21"/>
                <w:szCs w:val="21"/>
                <w:highlight w:val="none"/>
                <w14:textFill>
                  <w14:solidFill>
                    <w14:schemeClr w14:val="tx1"/>
                  </w14:solidFill>
                </w14:textFill>
              </w:rPr>
              <w:t>级</w:t>
            </w:r>
          </w:p>
        </w:tc>
      </w:tr>
    </w:tbl>
    <w:p w14:paraId="14A74CD2">
      <w:pPr>
        <w:widowControl/>
        <w:spacing w:line="360" w:lineRule="auto"/>
        <w:ind w:left="425"/>
        <w:jc w:val="left"/>
        <w:outlineLvl w:val="4"/>
        <w:rPr>
          <w:color w:val="000000" w:themeColor="text1"/>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3)</w:t>
      </w:r>
      <w:r>
        <w:rPr>
          <w:rFonts w:ascii="宋体" w:hAnsi="宋体" w:eastAsia="宋体" w:cs="宋体"/>
          <w:b/>
          <w:bCs/>
          <w:color w:val="000000" w:themeColor="text1"/>
          <w:spacing w:val="-2"/>
          <w:sz w:val="24"/>
          <w:szCs w:val="24"/>
          <w:highlight w:val="none"/>
          <w14:textFill>
            <w14:solidFill>
              <w14:schemeClr w14:val="tx1"/>
            </w14:solidFill>
          </w14:textFill>
        </w:rPr>
        <w:t>电气绝缘试验</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56516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2380" w:type="dxa"/>
            <w:vAlign w:val="center"/>
          </w:tcPr>
          <w:p w14:paraId="75C2A0FE">
            <w:pPr>
              <w:pStyle w:val="250"/>
              <w:spacing w:after="0"/>
              <w:ind w:left="117"/>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绝缘电压</w:t>
            </w:r>
          </w:p>
        </w:tc>
        <w:tc>
          <w:tcPr>
            <w:tcW w:w="6911" w:type="dxa"/>
            <w:vAlign w:val="center"/>
          </w:tcPr>
          <w:p w14:paraId="45FD1927">
            <w:pPr>
              <w:pStyle w:val="250"/>
              <w:spacing w:after="0"/>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1"/>
                <w:sz w:val="21"/>
                <w:szCs w:val="21"/>
                <w:highlight w:val="none"/>
                <w14:textFill>
                  <w14:solidFill>
                    <w14:schemeClr w14:val="tx1"/>
                  </w14:solidFill>
                </w14:textFill>
              </w:rPr>
              <w:t>GB</w:t>
            </w:r>
            <w:r>
              <w:rPr>
                <w:rFonts w:cs="Arial"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14598.27-2008</w:t>
            </w:r>
            <w:r>
              <w:rPr>
                <w:rFonts w:asciiTheme="minorEastAsia" w:hAnsiTheme="minorEastAsia" w:eastAsiaTheme="minorEastAsia"/>
                <w:color w:val="000000" w:themeColor="text1"/>
                <w:spacing w:val="-1"/>
                <w:sz w:val="21"/>
                <w:szCs w:val="21"/>
                <w:highlight w:val="none"/>
                <w14:textFill>
                  <w14:solidFill>
                    <w14:schemeClr w14:val="tx1"/>
                  </w14:solidFill>
                </w14:textFill>
              </w:rPr>
              <w:t>，</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2kV</w:t>
            </w:r>
            <w:r>
              <w:rPr>
                <w:rFonts w:asciiTheme="minorEastAsia" w:hAnsiTheme="minorEastAsia" w:eastAsiaTheme="minorEastAsia"/>
                <w:color w:val="000000" w:themeColor="text1"/>
                <w:spacing w:val="-1"/>
                <w:sz w:val="21"/>
                <w:szCs w:val="21"/>
                <w:highlight w:val="none"/>
                <w14:textFill>
                  <w14:solidFill>
                    <w14:schemeClr w14:val="tx1"/>
                  </w14:solidFill>
                </w14:textFill>
              </w:rPr>
              <w:t>，</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50Hz</w:t>
            </w:r>
            <w:r>
              <w:rPr>
                <w:rFonts w:asciiTheme="minorEastAsia" w:hAnsiTheme="minorEastAsia" w:eastAsiaTheme="minorEastAsia"/>
                <w:color w:val="000000" w:themeColor="text1"/>
                <w:spacing w:val="-1"/>
                <w:sz w:val="21"/>
                <w:szCs w:val="21"/>
                <w:highlight w:val="none"/>
                <w14:textFill>
                  <w14:solidFill>
                    <w14:schemeClr w14:val="tx1"/>
                  </w14:solidFill>
                </w14:textFill>
              </w:rPr>
              <w:t>，</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1 </w:t>
            </w:r>
            <w:r>
              <w:rPr>
                <w:rFonts w:asciiTheme="minorEastAsia" w:hAnsiTheme="minorEastAsia" w:eastAsiaTheme="minorEastAsia"/>
                <w:color w:val="000000" w:themeColor="text1"/>
                <w:spacing w:val="-2"/>
                <w:sz w:val="21"/>
                <w:szCs w:val="21"/>
                <w:highlight w:val="none"/>
                <w14:textFill>
                  <w14:solidFill>
                    <w14:schemeClr w14:val="tx1"/>
                  </w14:solidFill>
                </w14:textFill>
              </w:rPr>
              <w:t>分钟</w:t>
            </w:r>
          </w:p>
        </w:tc>
      </w:tr>
      <w:tr w14:paraId="06764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2380" w:type="dxa"/>
            <w:vAlign w:val="center"/>
          </w:tcPr>
          <w:p w14:paraId="37F366E9">
            <w:pPr>
              <w:pStyle w:val="250"/>
              <w:spacing w:after="0"/>
              <w:ind w:left="117"/>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绝缘电阻</w:t>
            </w:r>
          </w:p>
        </w:tc>
        <w:tc>
          <w:tcPr>
            <w:tcW w:w="6911" w:type="dxa"/>
            <w:vAlign w:val="center"/>
          </w:tcPr>
          <w:p w14:paraId="666BE0E5">
            <w:pPr>
              <w:pStyle w:val="250"/>
              <w:spacing w:after="0"/>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w:t>
            </w:r>
            <w:r>
              <w:rPr>
                <w:rFonts w:cs="Arial" w:asciiTheme="minorEastAsia" w:hAnsiTheme="minorEastAsia" w:eastAsiaTheme="minorEastAsia"/>
                <w:color w:val="000000" w:themeColor="text1"/>
                <w:spacing w:val="40"/>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14598.3-2006</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&gt;100MΩ </w:t>
            </w:r>
            <w:r>
              <w:rPr>
                <w:rFonts w:asciiTheme="minorEastAsia" w:hAnsiTheme="minorEastAsia" w:eastAsiaTheme="minorEastAsia"/>
                <w:color w:val="000000" w:themeColor="text1"/>
                <w:spacing w:val="-2"/>
                <w:sz w:val="21"/>
                <w:szCs w:val="21"/>
                <w:highlight w:val="none"/>
                <w14:textFill>
                  <w14:solidFill>
                    <w14:schemeClr w14:val="tx1"/>
                  </w14:solidFill>
                </w14:textFill>
              </w:rPr>
              <w:t>在</w:t>
            </w:r>
            <w:r>
              <w:rPr>
                <w:rFonts w:asciiTheme="minorEastAsia" w:hAnsiTheme="minorEastAsia" w:eastAsiaTheme="minorEastAsia"/>
                <w:color w:val="000000" w:themeColor="text1"/>
                <w:spacing w:val="-4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500Vdc </w:t>
            </w:r>
            <w:r>
              <w:rPr>
                <w:rFonts w:asciiTheme="minorEastAsia" w:hAnsiTheme="minorEastAsia" w:eastAsiaTheme="minorEastAsia"/>
                <w:color w:val="000000" w:themeColor="text1"/>
                <w:spacing w:val="-2"/>
                <w:sz w:val="21"/>
                <w:szCs w:val="21"/>
                <w:highlight w:val="none"/>
                <w14:textFill>
                  <w14:solidFill>
                    <w14:schemeClr w14:val="tx1"/>
                  </w14:solidFill>
                </w14:textFill>
              </w:rPr>
              <w:t>条件下</w:t>
            </w:r>
          </w:p>
        </w:tc>
      </w:tr>
      <w:tr w14:paraId="1113B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2380" w:type="dxa"/>
            <w:vAlign w:val="center"/>
          </w:tcPr>
          <w:p w14:paraId="74BE4329">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冲击电压</w:t>
            </w:r>
          </w:p>
        </w:tc>
        <w:tc>
          <w:tcPr>
            <w:tcW w:w="6911" w:type="dxa"/>
            <w:vAlign w:val="center"/>
          </w:tcPr>
          <w:p w14:paraId="69055552">
            <w:pPr>
              <w:pStyle w:val="250"/>
              <w:spacing w:after="0"/>
              <w:ind w:left="113"/>
              <w:rPr>
                <w:rFonts w:cs="Arial"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w:t>
            </w:r>
            <w:r>
              <w:rPr>
                <w:rFonts w:cs="Arial" w:asciiTheme="minorEastAsia" w:hAnsiTheme="minorEastAsia" w:eastAsiaTheme="minorEastAsia"/>
                <w:color w:val="000000" w:themeColor="text1"/>
                <w:spacing w:val="25"/>
                <w:w w:val="10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14598.3-2006</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5kV</w:t>
            </w:r>
          </w:p>
        </w:tc>
      </w:tr>
      <w:tr w14:paraId="47343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380" w:type="dxa"/>
            <w:vAlign w:val="center"/>
          </w:tcPr>
          <w:p w14:paraId="6F26A034">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过电压类别</w:t>
            </w:r>
          </w:p>
        </w:tc>
        <w:tc>
          <w:tcPr>
            <w:tcW w:w="6911" w:type="dxa"/>
            <w:vAlign w:val="center"/>
          </w:tcPr>
          <w:p w14:paraId="24F6AA41">
            <w:pPr>
              <w:pStyle w:val="250"/>
              <w:spacing w:after="0"/>
              <w:ind w:left="113"/>
              <w:rPr>
                <w:rFonts w:cs="Arial"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3"/>
                <w:sz w:val="21"/>
                <w:szCs w:val="21"/>
                <w:highlight w:val="none"/>
                <w14:textFill>
                  <w14:solidFill>
                    <w14:schemeClr w14:val="tx1"/>
                  </w14:solidFill>
                </w14:textFill>
              </w:rPr>
              <w:t>GB</w:t>
            </w:r>
            <w:r>
              <w:rPr>
                <w:rFonts w:cs="Arial" w:asciiTheme="minorEastAsia" w:hAnsiTheme="minorEastAsia" w:eastAsiaTheme="minorEastAsia"/>
                <w:color w:val="000000" w:themeColor="text1"/>
                <w:spacing w:val="35"/>
                <w:w w:val="10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14598.3-2006</w:t>
            </w:r>
            <w:r>
              <w:rPr>
                <w:rFonts w:asciiTheme="minorEastAsia" w:hAnsiTheme="minorEastAsia" w:eastAsiaTheme="minorEastAsia"/>
                <w:color w:val="000000" w:themeColor="text1"/>
                <w:spacing w:val="-3"/>
                <w:sz w:val="21"/>
                <w:szCs w:val="21"/>
                <w:highlight w:val="none"/>
                <w14:textFill>
                  <w14:solidFill>
                    <w14:schemeClr w14:val="tx1"/>
                  </w14:solidFill>
                </w14:textFill>
              </w:rPr>
              <w:t>，类别</w:t>
            </w:r>
            <w:r>
              <w:rPr>
                <w:rFonts w:asciiTheme="minorEastAsia" w:hAnsiTheme="minorEastAsia" w:eastAsiaTheme="minorEastAsia"/>
                <w:color w:val="000000" w:themeColor="text1"/>
                <w:spacing w:val="-3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III</w:t>
            </w:r>
          </w:p>
        </w:tc>
      </w:tr>
    </w:tbl>
    <w:p w14:paraId="6E5FC14C">
      <w:pPr>
        <w:widowControl/>
        <w:spacing w:line="360" w:lineRule="auto"/>
        <w:ind w:left="425"/>
        <w:jc w:val="left"/>
        <w:outlineLvl w:val="4"/>
        <w:rPr>
          <w:color w:val="000000" w:themeColor="text1"/>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4)</w:t>
      </w:r>
      <w:r>
        <w:rPr>
          <w:rFonts w:ascii="宋体" w:hAnsi="宋体" w:eastAsia="宋体" w:cs="宋体"/>
          <w:b/>
          <w:bCs/>
          <w:color w:val="000000" w:themeColor="text1"/>
          <w:spacing w:val="-2"/>
          <w:sz w:val="24"/>
          <w:szCs w:val="24"/>
          <w:highlight w:val="none"/>
          <w14:textFill>
            <w14:solidFill>
              <w14:schemeClr w14:val="tx1"/>
            </w14:solidFill>
          </w14:textFill>
        </w:rPr>
        <w:t>电磁兼容试验</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54E36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80" w:type="dxa"/>
            <w:vAlign w:val="center"/>
          </w:tcPr>
          <w:p w14:paraId="4545EDCC">
            <w:pPr>
              <w:pStyle w:val="250"/>
              <w:spacing w:after="0"/>
              <w:ind w:left="115" w:right="105" w:hanging="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5"/>
                <w:sz w:val="21"/>
                <w:szCs w:val="21"/>
                <w:highlight w:val="none"/>
                <w14:textFill>
                  <w14:solidFill>
                    <w14:schemeClr w14:val="tx1"/>
                  </w14:solidFill>
                </w14:textFill>
              </w:rPr>
              <w:t>慢速阻尼振荡波抗扰度</w:t>
            </w:r>
            <w:r>
              <w:rPr>
                <w:rFonts w:asciiTheme="minorEastAsia" w:hAnsiTheme="minorEastAsia" w:eastAsiaTheme="minorEastAsia"/>
                <w:color w:val="000000" w:themeColor="text1"/>
                <w:spacing w:val="-2"/>
                <w:sz w:val="21"/>
                <w:szCs w:val="21"/>
                <w:highlight w:val="none"/>
                <w14:textFill>
                  <w14:solidFill>
                    <w14:schemeClr w14:val="tx1"/>
                  </w14:solidFill>
                </w14:textFill>
              </w:rPr>
              <w:t>试验</w:t>
            </w:r>
          </w:p>
        </w:tc>
        <w:tc>
          <w:tcPr>
            <w:tcW w:w="6911" w:type="dxa"/>
            <w:vAlign w:val="center"/>
          </w:tcPr>
          <w:p w14:paraId="7B572093">
            <w:pPr>
              <w:pStyle w:val="250"/>
              <w:spacing w:after="0"/>
              <w:ind w:left="110"/>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3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26"/>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17626.18-2016</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p>
        </w:tc>
      </w:tr>
      <w:tr w14:paraId="7853D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2380" w:type="dxa"/>
            <w:vAlign w:val="center"/>
          </w:tcPr>
          <w:p w14:paraId="16747B37">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静电放电试验</w:t>
            </w:r>
          </w:p>
        </w:tc>
        <w:tc>
          <w:tcPr>
            <w:tcW w:w="6911" w:type="dxa"/>
            <w:vAlign w:val="center"/>
          </w:tcPr>
          <w:p w14:paraId="2CF5028E">
            <w:pPr>
              <w:pStyle w:val="250"/>
              <w:spacing w:after="0"/>
              <w:ind w:left="104"/>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4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3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17626.2-2006</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p>
        </w:tc>
      </w:tr>
      <w:tr w14:paraId="6B7A5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2380" w:type="dxa"/>
            <w:vAlign w:val="center"/>
          </w:tcPr>
          <w:p w14:paraId="45709805">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辐射电磁场干扰试验</w:t>
            </w:r>
          </w:p>
        </w:tc>
        <w:tc>
          <w:tcPr>
            <w:tcW w:w="6911" w:type="dxa"/>
            <w:vAlign w:val="center"/>
          </w:tcPr>
          <w:p w14:paraId="5F1AF3DD">
            <w:pPr>
              <w:pStyle w:val="250"/>
              <w:spacing w:after="0"/>
              <w:ind w:left="110"/>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3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25"/>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17626.3-2006</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p>
        </w:tc>
      </w:tr>
      <w:tr w14:paraId="1FF7A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2380" w:type="dxa"/>
            <w:vAlign w:val="center"/>
          </w:tcPr>
          <w:p w14:paraId="1E423FA3">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快速瞬变干扰试验</w:t>
            </w:r>
          </w:p>
        </w:tc>
        <w:tc>
          <w:tcPr>
            <w:tcW w:w="6911" w:type="dxa"/>
            <w:vAlign w:val="center"/>
          </w:tcPr>
          <w:p w14:paraId="10DAF7BB">
            <w:pPr>
              <w:pStyle w:val="250"/>
              <w:spacing w:after="0"/>
              <w:ind w:left="104"/>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4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18"/>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17626.4-2008</w:t>
            </w:r>
            <w:r>
              <w:rPr>
                <w:rFonts w:asciiTheme="minorEastAsia" w:hAnsiTheme="minorEastAsia" w:eastAsiaTheme="minorEastAsia"/>
                <w:color w:val="000000" w:themeColor="text1"/>
                <w:spacing w:val="-54"/>
                <w:sz w:val="21"/>
                <w:szCs w:val="21"/>
                <w:highlight w:val="none"/>
                <w14:textFill>
                  <w14:solidFill>
                    <w14:schemeClr w14:val="tx1"/>
                  </w14:solidFill>
                </w14:textFill>
              </w:rPr>
              <w:t>））</w:t>
            </w:r>
          </w:p>
        </w:tc>
      </w:tr>
      <w:tr w14:paraId="322C9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2380" w:type="dxa"/>
            <w:vAlign w:val="center"/>
          </w:tcPr>
          <w:p w14:paraId="774CC6A3">
            <w:pPr>
              <w:pStyle w:val="250"/>
              <w:spacing w:after="0"/>
              <w:ind w:left="119"/>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3"/>
                <w:sz w:val="21"/>
                <w:szCs w:val="21"/>
                <w:highlight w:val="none"/>
                <w14:textFill>
                  <w14:solidFill>
                    <w14:schemeClr w14:val="tx1"/>
                  </w14:solidFill>
                </w14:textFill>
              </w:rPr>
              <w:t>浪涌试验</w:t>
            </w:r>
          </w:p>
        </w:tc>
        <w:tc>
          <w:tcPr>
            <w:tcW w:w="6911" w:type="dxa"/>
            <w:vAlign w:val="center"/>
          </w:tcPr>
          <w:p w14:paraId="70DD9752">
            <w:pPr>
              <w:pStyle w:val="250"/>
              <w:spacing w:after="0"/>
              <w:ind w:left="104"/>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4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3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17626.5-2008</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p>
        </w:tc>
      </w:tr>
      <w:tr w14:paraId="56588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380" w:type="dxa"/>
            <w:vAlign w:val="center"/>
          </w:tcPr>
          <w:p w14:paraId="04CEEA9A">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射频传导干扰试验</w:t>
            </w:r>
          </w:p>
        </w:tc>
        <w:tc>
          <w:tcPr>
            <w:tcW w:w="6911" w:type="dxa"/>
            <w:vAlign w:val="center"/>
          </w:tcPr>
          <w:p w14:paraId="273F48D0">
            <w:pPr>
              <w:pStyle w:val="250"/>
              <w:spacing w:after="0"/>
              <w:ind w:left="110"/>
              <w:rPr>
                <w:rFonts w:asciiTheme="minorEastAsia" w:hAnsiTheme="minorEastAsia" w:eastAsiaTheme="minorEastAsia"/>
                <w:color w:val="000000" w:themeColor="text1"/>
                <w:sz w:val="21"/>
                <w:szCs w:val="21"/>
                <w:highlight w:val="none"/>
                <w14:textFill>
                  <w14:solidFill>
                    <w14:schemeClr w14:val="tx1"/>
                  </w14:solidFill>
                </w14:textFill>
              </w:rPr>
            </w:pP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3 </w:t>
            </w:r>
            <w:r>
              <w:rPr>
                <w:rFonts w:asciiTheme="minorEastAsia" w:hAnsiTheme="minorEastAsia" w:eastAsiaTheme="minorEastAsia"/>
                <w:color w:val="000000" w:themeColor="text1"/>
                <w:spacing w:val="-2"/>
                <w:sz w:val="21"/>
                <w:szCs w:val="21"/>
                <w:highlight w:val="none"/>
                <w14:textFill>
                  <w14:solidFill>
                    <w14:schemeClr w14:val="tx1"/>
                  </w14:solidFill>
                </w14:textFill>
              </w:rPr>
              <w:t>级（</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GB/T</w:t>
            </w:r>
            <w:r>
              <w:rPr>
                <w:rFonts w:cs="Arial" w:asciiTheme="minorEastAsia" w:hAnsiTheme="minorEastAsia" w:eastAsiaTheme="minorEastAsia"/>
                <w:color w:val="000000" w:themeColor="text1"/>
                <w:spacing w:val="25"/>
                <w:w w:val="101"/>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17626.6-2008</w:t>
            </w:r>
            <w:r>
              <w:rPr>
                <w:rFonts w:asciiTheme="minorEastAsia" w:hAnsiTheme="minorEastAsia" w:eastAsiaTheme="minorEastAsia"/>
                <w:color w:val="000000" w:themeColor="text1"/>
                <w:spacing w:val="-2"/>
                <w:sz w:val="21"/>
                <w:szCs w:val="21"/>
                <w:highlight w:val="none"/>
                <w14:textFill>
                  <w14:solidFill>
                    <w14:schemeClr w14:val="tx1"/>
                  </w14:solidFill>
                </w14:textFill>
              </w:rPr>
              <w:t>）</w:t>
            </w:r>
          </w:p>
        </w:tc>
      </w:tr>
    </w:tbl>
    <w:p w14:paraId="4E5DC78B">
      <w:pPr>
        <w:spacing w:line="360" w:lineRule="auto"/>
        <w:rPr>
          <w:rFonts w:ascii="宋体" w:hAnsi="宋体" w:eastAsia="宋体" w:cs="宋体"/>
          <w:b/>
          <w:bCs/>
          <w:color w:val="000000" w:themeColor="text1"/>
          <w:sz w:val="24"/>
          <w:szCs w:val="24"/>
          <w:highlight w:val="none"/>
          <w14:textFill>
            <w14:solidFill>
              <w14:schemeClr w14:val="tx1"/>
            </w14:solidFill>
          </w14:textFill>
        </w:rPr>
      </w:pPr>
    </w:p>
    <w:p w14:paraId="75D66F52">
      <w:pPr>
        <w:spacing w:line="360" w:lineRule="auto"/>
        <w:ind w:firstLine="482" w:firstLineChars="200"/>
        <w:outlineLvl w:val="3"/>
        <w:rPr>
          <w:rFonts w:ascii="宋体" w:hAnsi="宋体" w:eastAsia="宋体" w:cs="宋体"/>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保护装置功能</w:t>
      </w:r>
    </w:p>
    <w:p w14:paraId="04686BDC">
      <w:pPr>
        <w:widowControl/>
        <w:spacing w:line="360" w:lineRule="auto"/>
        <w:ind w:firstLine="474" w:firstLineChars="200"/>
        <w:jc w:val="left"/>
        <w:outlineLvl w:val="3"/>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线路保护</w:t>
      </w:r>
    </w:p>
    <w:p w14:paraId="06F4F434">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线路保护装置适用于110kV以下电压等级的非直接接地系统或小电阻接地系统中的线路保护及测控.</w:t>
      </w:r>
    </w:p>
    <w:p w14:paraId="37CA7421">
      <w:pPr>
        <w:widowControl/>
        <w:spacing w:line="360" w:lineRule="auto"/>
        <w:jc w:val="lef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保护功能：</w:t>
      </w:r>
    </w:p>
    <w:p w14:paraId="59F6FDC4">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过流保护</w:t>
      </w:r>
    </w:p>
    <w:p w14:paraId="15D52B28">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零序过流保护</w:t>
      </w:r>
    </w:p>
    <w:p w14:paraId="6D0E20B7">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低压侧零序过流保护</w:t>
      </w:r>
    </w:p>
    <w:p w14:paraId="278371EC">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过流加速保护</w:t>
      </w:r>
    </w:p>
    <w:p w14:paraId="0F1812E8">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零序加速保护</w:t>
      </w:r>
    </w:p>
    <w:p w14:paraId="5CC26847">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过负荷保护</w:t>
      </w:r>
    </w:p>
    <w:p w14:paraId="4478E9FE">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低频减载保护</w:t>
      </w:r>
    </w:p>
    <w:p w14:paraId="286781C3">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高频解列保护</w:t>
      </w:r>
    </w:p>
    <w:p w14:paraId="3158C9E2">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低电压保护</w:t>
      </w:r>
    </w:p>
    <w:p w14:paraId="251BD415">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过电压保护</w:t>
      </w:r>
    </w:p>
    <w:p w14:paraId="1F1E3B7C">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零过压保护</w:t>
      </w:r>
    </w:p>
    <w:p w14:paraId="13B3BE67">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重合闸保护</w:t>
      </w:r>
    </w:p>
    <w:p w14:paraId="0EDF25D2">
      <w:pPr>
        <w:widowControl/>
        <w:spacing w:line="360" w:lineRule="auto"/>
        <w:jc w:val="lef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故障录波和事件记录功能：</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1B8AF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380" w:type="dxa"/>
            <w:vMerge w:val="restart"/>
            <w:tcBorders>
              <w:bottom w:val="nil"/>
            </w:tcBorders>
            <w:vAlign w:val="center"/>
          </w:tcPr>
          <w:p w14:paraId="43A64CDA">
            <w:pPr>
              <w:pStyle w:val="250"/>
              <w:spacing w:after="0"/>
              <w:ind w:left="120" w:right="106" w:hanging="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4"/>
                <w:sz w:val="21"/>
                <w:szCs w:val="21"/>
                <w:highlight w:val="none"/>
                <w14:textFill>
                  <w14:solidFill>
                    <w14:schemeClr w14:val="tx1"/>
                  </w14:solidFill>
                </w14:textFill>
              </w:rPr>
              <w:t>故障录波、故障事件报</w:t>
            </w:r>
            <w:r>
              <w:rPr>
                <w:rFonts w:asciiTheme="minorEastAsia" w:hAnsiTheme="minorEastAsia" w:eastAsiaTheme="minorEastAsia"/>
                <w:color w:val="000000" w:themeColor="text1"/>
                <w:sz w:val="21"/>
                <w:szCs w:val="21"/>
                <w:highlight w:val="none"/>
                <w14:textFill>
                  <w14:solidFill>
                    <w14:schemeClr w14:val="tx1"/>
                  </w14:solidFill>
                </w14:textFill>
              </w:rPr>
              <w:t>告</w:t>
            </w:r>
          </w:p>
        </w:tc>
        <w:tc>
          <w:tcPr>
            <w:tcW w:w="6911" w:type="dxa"/>
            <w:vAlign w:val="center"/>
          </w:tcPr>
          <w:p w14:paraId="190588CB">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整组启动记录启动前</w:t>
            </w:r>
            <w:r>
              <w:rPr>
                <w:rFonts w:asciiTheme="minorEastAsia" w:hAnsiTheme="minorEastAsia" w:eastAsiaTheme="minorEastAsia"/>
                <w:color w:val="000000" w:themeColor="text1"/>
                <w:spacing w:val="-47"/>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46"/>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6</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 </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个周波的波形</w:t>
            </w:r>
          </w:p>
        </w:tc>
      </w:tr>
      <w:tr w14:paraId="5F918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2380" w:type="dxa"/>
            <w:vMerge w:val="continue"/>
            <w:tcBorders>
              <w:top w:val="nil"/>
              <w:bottom w:val="nil"/>
            </w:tcBorders>
            <w:vAlign w:val="center"/>
          </w:tcPr>
          <w:p w14:paraId="4764DCF5">
            <w:pPr>
              <w:jc w:val="center"/>
              <w:rPr>
                <w:rFonts w:asciiTheme="minorEastAsia" w:hAnsiTheme="minorEastAsia"/>
                <w:color w:val="000000" w:themeColor="text1"/>
                <w:highlight w:val="none"/>
                <w14:textFill>
                  <w14:solidFill>
                    <w14:schemeClr w14:val="tx1"/>
                  </w14:solidFill>
                </w14:textFill>
              </w:rPr>
            </w:pPr>
          </w:p>
        </w:tc>
        <w:tc>
          <w:tcPr>
            <w:tcW w:w="6911" w:type="dxa"/>
            <w:vAlign w:val="center"/>
          </w:tcPr>
          <w:p w14:paraId="39D766ED">
            <w:pPr>
              <w:pStyle w:val="250"/>
              <w:spacing w:after="0"/>
              <w:ind w:left="111" w:right="10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3"/>
                <w:sz w:val="21"/>
                <w:szCs w:val="21"/>
                <w:highlight w:val="none"/>
                <w14:textFill>
                  <w14:solidFill>
                    <w14:schemeClr w14:val="tx1"/>
                  </w14:solidFill>
                </w14:textFill>
              </w:rPr>
              <w:t>保护动作记录启动前</w:t>
            </w:r>
            <w:r>
              <w:rPr>
                <w:rFonts w:asciiTheme="minorEastAsia" w:hAnsiTheme="minorEastAsia" w:eastAsiaTheme="minorEastAsia"/>
                <w:color w:val="000000" w:themeColor="text1"/>
                <w:spacing w:val="-44"/>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47"/>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个周波，动作前</w:t>
            </w:r>
            <w:r>
              <w:rPr>
                <w:rFonts w:asciiTheme="minorEastAsia" w:hAnsiTheme="minorEastAsia" w:eastAsiaTheme="minorEastAsia"/>
                <w:color w:val="000000" w:themeColor="text1"/>
                <w:spacing w:val="-45"/>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个周波、动作</w:t>
            </w:r>
            <w:r>
              <w:rPr>
                <w:rFonts w:asciiTheme="minorEastAsia" w:hAnsiTheme="minorEastAsia" w:eastAsiaTheme="minorEastAsia"/>
                <w:color w:val="000000" w:themeColor="text1"/>
                <w:spacing w:val="-4"/>
                <w:sz w:val="21"/>
                <w:szCs w:val="21"/>
                <w:highlight w:val="none"/>
                <w14:textFill>
                  <w14:solidFill>
                    <w14:schemeClr w14:val="tx1"/>
                  </w14:solidFill>
                </w14:textFill>
              </w:rPr>
              <w:t>后</w:t>
            </w:r>
            <w:r>
              <w:rPr>
                <w:rFonts w:asciiTheme="minorEastAsia" w:hAnsiTheme="minorEastAsia" w:eastAsiaTheme="minorEastAsia"/>
                <w:color w:val="000000" w:themeColor="text1"/>
                <w:spacing w:val="-4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4"/>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4"/>
                <w:sz w:val="21"/>
                <w:szCs w:val="21"/>
                <w:highlight w:val="none"/>
                <w14:textFill>
                  <w14:solidFill>
                    <w14:schemeClr w14:val="tx1"/>
                  </w14:solidFill>
                </w14:textFill>
              </w:rPr>
              <w:t>个周波</w:t>
            </w:r>
          </w:p>
        </w:tc>
      </w:tr>
      <w:tr w14:paraId="5DE54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Merge w:val="continue"/>
            <w:tcBorders>
              <w:top w:val="nil"/>
            </w:tcBorders>
            <w:vAlign w:val="center"/>
          </w:tcPr>
          <w:p w14:paraId="228B5F7A">
            <w:pPr>
              <w:jc w:val="center"/>
              <w:rPr>
                <w:rFonts w:asciiTheme="minorEastAsia" w:hAnsiTheme="minorEastAsia"/>
                <w:color w:val="000000" w:themeColor="text1"/>
                <w:highlight w:val="none"/>
                <w14:textFill>
                  <w14:solidFill>
                    <w14:schemeClr w14:val="tx1"/>
                  </w14:solidFill>
                </w14:textFill>
              </w:rPr>
            </w:pPr>
          </w:p>
        </w:tc>
        <w:tc>
          <w:tcPr>
            <w:tcW w:w="6911" w:type="dxa"/>
            <w:vAlign w:val="center"/>
          </w:tcPr>
          <w:p w14:paraId="02C5F92A">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44"/>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次保护动作报告、</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w:t>
            </w:r>
            <w:r>
              <w:rPr>
                <w:rFonts w:asciiTheme="minorEastAsia" w:hAnsiTheme="minorEastAsia" w:eastAsiaTheme="minorEastAsia"/>
                <w:color w:val="000000" w:themeColor="text1"/>
                <w:spacing w:val="-2"/>
                <w:sz w:val="21"/>
                <w:szCs w:val="21"/>
                <w:highlight w:val="none"/>
                <w14:textFill>
                  <w14:solidFill>
                    <w14:schemeClr w14:val="tx1"/>
                  </w14:solidFill>
                </w14:textFill>
              </w:rPr>
              <w:t>故障录波</w:t>
            </w:r>
          </w:p>
        </w:tc>
      </w:tr>
      <w:tr w14:paraId="73A89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Align w:val="center"/>
          </w:tcPr>
          <w:p w14:paraId="483B6E2F">
            <w:pPr>
              <w:pStyle w:val="250"/>
              <w:spacing w:after="0"/>
              <w:ind w:left="117"/>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人工触发录波</w:t>
            </w:r>
          </w:p>
        </w:tc>
        <w:tc>
          <w:tcPr>
            <w:tcW w:w="6911" w:type="dxa"/>
            <w:vAlign w:val="center"/>
          </w:tcPr>
          <w:p w14:paraId="43CD2F85">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具备手动及远方触发录波功能，以供记录或校验极性</w:t>
            </w:r>
          </w:p>
        </w:tc>
      </w:tr>
      <w:tr w14:paraId="5A19B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Align w:val="center"/>
          </w:tcPr>
          <w:p w14:paraId="65B2BC51">
            <w:pPr>
              <w:pStyle w:val="250"/>
              <w:spacing w:after="0"/>
              <w:ind w:left="118"/>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异常告警</w:t>
            </w:r>
          </w:p>
        </w:tc>
        <w:tc>
          <w:tcPr>
            <w:tcW w:w="6911" w:type="dxa"/>
            <w:vAlign w:val="center"/>
          </w:tcPr>
          <w:p w14:paraId="4247675C">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1024 </w:t>
            </w:r>
            <w:r>
              <w:rPr>
                <w:rFonts w:asciiTheme="minorEastAsia" w:hAnsiTheme="minorEastAsia" w:eastAsiaTheme="minorEastAsia"/>
                <w:color w:val="000000" w:themeColor="text1"/>
                <w:spacing w:val="-2"/>
                <w:sz w:val="21"/>
                <w:szCs w:val="21"/>
                <w:highlight w:val="none"/>
                <w14:textFill>
                  <w14:solidFill>
                    <w14:schemeClr w14:val="tx1"/>
                  </w14:solidFill>
                </w14:textFill>
              </w:rPr>
              <w:t>次异常告警和装置自检报告</w:t>
            </w:r>
          </w:p>
        </w:tc>
      </w:tr>
      <w:tr w14:paraId="3F711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2380" w:type="dxa"/>
            <w:vAlign w:val="center"/>
          </w:tcPr>
          <w:p w14:paraId="294E408E">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开关量变位</w:t>
            </w:r>
          </w:p>
        </w:tc>
        <w:tc>
          <w:tcPr>
            <w:tcW w:w="6911" w:type="dxa"/>
            <w:vAlign w:val="center"/>
          </w:tcPr>
          <w:p w14:paraId="17E64522">
            <w:pPr>
              <w:pStyle w:val="250"/>
              <w:spacing w:after="0"/>
              <w:ind w:left="110" w:right="104" w:firstLine="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 xml:space="preserve">可循环记录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1024</w:t>
            </w:r>
            <w:r>
              <w:rPr>
                <w:rFonts w:cs="Arial" w:asciiTheme="minorEastAsia" w:hAnsiTheme="minorEastAsia" w:eastAsiaTheme="minorEastAsia"/>
                <w:color w:val="000000" w:themeColor="text1"/>
                <w:spacing w:val="35"/>
                <w:w w:val="101"/>
                <w:sz w:val="21"/>
                <w:szCs w:val="21"/>
                <w:highlight w:val="none"/>
                <w14:textFill>
                  <w14:solidFill>
                    <w14:schemeClr w14:val="tx1"/>
                  </w14:solidFill>
                </w14:textFill>
              </w:rPr>
              <w:t xml:space="preserve"> </w:t>
            </w:r>
            <w:r>
              <w:rPr>
                <w:rFonts w:asciiTheme="minorEastAsia" w:hAnsiTheme="minorEastAsia" w:eastAsiaTheme="minorEastAsia"/>
                <w:color w:val="000000" w:themeColor="text1"/>
                <w:spacing w:val="-2"/>
                <w:sz w:val="21"/>
                <w:szCs w:val="21"/>
                <w:highlight w:val="none"/>
                <w14:textFill>
                  <w14:solidFill>
                    <w14:schemeClr w14:val="tx1"/>
                  </w14:solidFill>
                </w14:textFill>
              </w:rPr>
              <w:t>次开关量变位报告。开关量变位包括各种开入、开出状态变位等</w:t>
            </w:r>
          </w:p>
        </w:tc>
      </w:tr>
    </w:tbl>
    <w:p w14:paraId="33456743">
      <w:pPr>
        <w:widowControl/>
        <w:spacing w:line="360" w:lineRule="auto"/>
        <w:jc w:val="left"/>
        <w:rPr>
          <w:rFonts w:ascii="宋体" w:hAnsi="宋体" w:eastAsia="宋体" w:cs="宋体"/>
          <w:color w:val="000000" w:themeColor="text1"/>
          <w:sz w:val="24"/>
          <w:szCs w:val="24"/>
          <w:highlight w:val="none"/>
          <w14:textFill>
            <w14:solidFill>
              <w14:schemeClr w14:val="tx1"/>
            </w14:solidFill>
          </w14:textFill>
        </w:rPr>
      </w:pPr>
    </w:p>
    <w:p w14:paraId="195F1FE6">
      <w:pPr>
        <w:widowControl/>
        <w:spacing w:line="360" w:lineRule="auto"/>
        <w:ind w:firstLine="474" w:firstLineChars="200"/>
        <w:jc w:val="left"/>
        <w:outlineLvl w:val="3"/>
        <w:rPr>
          <w:rFonts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2)变压器非电量保护装置</w:t>
      </w:r>
    </w:p>
    <w:p w14:paraId="3F9308CD">
      <w:pPr>
        <w:widowControl/>
        <w:spacing w:line="360" w:lineRule="auto"/>
        <w:ind w:firstLine="480" w:firstLineChars="200"/>
        <w:jc w:val="left"/>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适用于110kV及以下电压等级各种接线方式的两圈或三圈变压器差动的要求。</w:t>
      </w:r>
      <w:r>
        <w:rPr>
          <w:rFonts w:hint="eastAsia" w:ascii="宋体" w:hAnsi="宋体" w:eastAsia="宋体" w:cs="宋体"/>
          <w:color w:val="000000" w:themeColor="text1"/>
          <w:szCs w:val="21"/>
          <w:highlight w:val="none"/>
          <w14:textFill>
            <w14:solidFill>
              <w14:schemeClr w14:val="tx1"/>
            </w14:solidFill>
          </w14:textFill>
        </w:rPr>
        <w:t xml:space="preserve">支持 </w:t>
      </w:r>
      <w:r>
        <w:rPr>
          <w:rFonts w:ascii="Arial" w:hAnsi="Arial" w:eastAsia="宋体" w:cs="Arial"/>
          <w:color w:val="000000" w:themeColor="text1"/>
          <w:szCs w:val="21"/>
          <w:highlight w:val="none"/>
          <w14:textFill>
            <w14:solidFill>
              <w14:schemeClr w14:val="tx1"/>
            </w14:solidFill>
          </w14:textFill>
        </w:rPr>
        <w:t>IEC6185</w:t>
      </w:r>
      <w:r>
        <w:rPr>
          <w:rFonts w:hint="eastAsia" w:ascii="宋体" w:hAnsi="宋体" w:eastAsia="宋体" w:cs="宋体"/>
          <w:color w:val="000000" w:themeColor="text1"/>
          <w:szCs w:val="21"/>
          <w:highlight w:val="none"/>
          <w14:textFill>
            <w14:solidFill>
              <w14:schemeClr w14:val="tx1"/>
            </w14:solidFill>
          </w14:textFill>
        </w:rPr>
        <w:t>0 规约。</w:t>
      </w:r>
    </w:p>
    <w:p w14:paraId="2849F086">
      <w:pPr>
        <w:spacing w:line="360" w:lineRule="auto"/>
        <w:rPr>
          <w:color w:val="000000" w:themeColor="text1"/>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保护功能：</w:t>
      </w:r>
    </w:p>
    <w:p w14:paraId="399BC188">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12 </w:t>
      </w:r>
      <w:r>
        <w:rPr>
          <w:rFonts w:hint="eastAsia" w:ascii="宋体" w:hAnsi="宋体" w:eastAsia="宋体" w:cs="宋体"/>
          <w:color w:val="000000" w:themeColor="text1"/>
          <w:sz w:val="24"/>
          <w:szCs w:val="24"/>
          <w:highlight w:val="none"/>
          <w14:textFill>
            <w14:solidFill>
              <w14:schemeClr w14:val="tx1"/>
            </w14:solidFill>
          </w14:textFill>
        </w:rPr>
        <w:t>路非电量保护。</w:t>
      </w:r>
    </w:p>
    <w:p w14:paraId="6EF50E97">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装置有三路不按相操作断路器的独立的跳合闸操作回路。</w:t>
      </w:r>
    </w:p>
    <w:p w14:paraId="717E7537">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两个电压切换回路。</w:t>
      </w:r>
    </w:p>
    <w:p w14:paraId="684E90F1">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继电器动作延时:</w:t>
      </w:r>
      <w:r>
        <w:rPr>
          <w:rFonts w:ascii="宋体" w:hAnsi="宋体" w:eastAsia="宋体" w:cs="宋体"/>
          <w:color w:val="000000" w:themeColor="text1"/>
          <w:sz w:val="24"/>
          <w:szCs w:val="24"/>
          <w:highlight w:val="non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30ms。</w:t>
      </w:r>
    </w:p>
    <w:p w14:paraId="5E492D12">
      <w:pPr>
        <w:widowControl/>
        <w:spacing w:line="360" w:lineRule="auto"/>
        <w:ind w:firstLine="420" w:firstLineChars="175"/>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非电量回路动作功率:额定电压下约 </w:t>
      </w:r>
      <w:r>
        <w:rPr>
          <w:rFonts w:ascii="宋体" w:hAnsi="宋体" w:eastAsia="宋体" w:cs="宋体"/>
          <w:color w:val="000000" w:themeColor="text1"/>
          <w:sz w:val="24"/>
          <w:szCs w:val="24"/>
          <w:highlight w:val="none"/>
          <w14:textFill>
            <w14:solidFill>
              <w14:schemeClr w14:val="tx1"/>
            </w14:solidFill>
          </w14:textFill>
        </w:rPr>
        <w:t>5W。</w:t>
      </w:r>
    </w:p>
    <w:p w14:paraId="6A1B8DE9">
      <w:pPr>
        <w:widowControl/>
        <w:spacing w:line="360" w:lineRule="auto"/>
        <w:jc w:val="left"/>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测控功能:</w:t>
      </w:r>
    </w:p>
    <w:p w14:paraId="5EDA8330">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18 </w:t>
      </w:r>
      <w:r>
        <w:rPr>
          <w:rFonts w:hint="eastAsia" w:ascii="宋体" w:hAnsi="宋体" w:eastAsia="宋体" w:cs="宋体"/>
          <w:color w:val="000000" w:themeColor="text1"/>
          <w:sz w:val="24"/>
          <w:szCs w:val="24"/>
          <w:highlight w:val="none"/>
          <w14:textFill>
            <w14:solidFill>
              <w14:schemeClr w14:val="tx1"/>
            </w14:solidFill>
          </w14:textFill>
        </w:rPr>
        <w:t xml:space="preserve">路自定义遥信开入。 </w:t>
      </w:r>
    </w:p>
    <w:p w14:paraId="2396540F">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事件 </w:t>
      </w:r>
      <w:r>
        <w:rPr>
          <w:rFonts w:ascii="宋体" w:hAnsi="宋体" w:eastAsia="宋体" w:cs="宋体"/>
          <w:color w:val="000000" w:themeColor="text1"/>
          <w:sz w:val="24"/>
          <w:szCs w:val="24"/>
          <w:highlight w:val="none"/>
          <w14:textFill>
            <w14:solidFill>
              <w14:schemeClr w14:val="tx1"/>
            </w14:solidFill>
          </w14:textFill>
        </w:rPr>
        <w:t xml:space="preserve">SOE </w:t>
      </w:r>
      <w:r>
        <w:rPr>
          <w:rFonts w:hint="eastAsia" w:ascii="宋体" w:hAnsi="宋体" w:eastAsia="宋体" w:cs="宋体"/>
          <w:color w:val="000000" w:themeColor="text1"/>
          <w:sz w:val="24"/>
          <w:szCs w:val="24"/>
          <w:highlight w:val="none"/>
          <w14:textFill>
            <w14:solidFill>
              <w14:schemeClr w14:val="tx1"/>
            </w14:solidFill>
          </w14:textFill>
        </w:rPr>
        <w:t>记录等。</w:t>
      </w:r>
    </w:p>
    <w:p w14:paraId="1033C226">
      <w:pPr>
        <w:widowControl/>
        <w:spacing w:line="360" w:lineRule="auto"/>
        <w:jc w:val="left"/>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故障录波和事件记录 </w:t>
      </w:r>
    </w:p>
    <w:p w14:paraId="0E45CB96">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异常报警：可循环记录 </w:t>
      </w:r>
      <w:r>
        <w:rPr>
          <w:rFonts w:ascii="宋体" w:hAnsi="宋体" w:eastAsia="宋体" w:cs="宋体"/>
          <w:color w:val="000000" w:themeColor="text1"/>
          <w:sz w:val="24"/>
          <w:szCs w:val="24"/>
          <w:highlight w:val="none"/>
          <w14:textFill>
            <w14:solidFill>
              <w14:schemeClr w14:val="tx1"/>
            </w14:solidFill>
          </w14:textFill>
        </w:rPr>
        <w:t xml:space="preserve">1024 </w:t>
      </w:r>
      <w:r>
        <w:rPr>
          <w:rFonts w:hint="eastAsia" w:ascii="宋体" w:hAnsi="宋体" w:eastAsia="宋体" w:cs="宋体"/>
          <w:color w:val="000000" w:themeColor="text1"/>
          <w:sz w:val="24"/>
          <w:szCs w:val="24"/>
          <w:highlight w:val="none"/>
          <w14:textFill>
            <w14:solidFill>
              <w14:schemeClr w14:val="tx1"/>
            </w14:solidFill>
          </w14:textFill>
        </w:rPr>
        <w:t xml:space="preserve">次异常报警和装置自检报告。 </w:t>
      </w:r>
    </w:p>
    <w:p w14:paraId="79C6FA09">
      <w:pPr>
        <w:widowControl/>
        <w:spacing w:line="360" w:lineRule="auto"/>
        <w:ind w:firstLine="420" w:firstLineChars="17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开关量变位：可循环记录 </w:t>
      </w:r>
      <w:r>
        <w:rPr>
          <w:rFonts w:ascii="宋体" w:hAnsi="宋体" w:eastAsia="宋体" w:cs="宋体"/>
          <w:color w:val="000000" w:themeColor="text1"/>
          <w:sz w:val="24"/>
          <w:szCs w:val="24"/>
          <w:highlight w:val="none"/>
          <w14:textFill>
            <w14:solidFill>
              <w14:schemeClr w14:val="tx1"/>
            </w14:solidFill>
          </w14:textFill>
        </w:rPr>
        <w:t xml:space="preserve">1024 </w:t>
      </w:r>
      <w:r>
        <w:rPr>
          <w:rFonts w:hint="eastAsia" w:ascii="宋体" w:hAnsi="宋体" w:eastAsia="宋体" w:cs="宋体"/>
          <w:color w:val="000000" w:themeColor="text1"/>
          <w:sz w:val="24"/>
          <w:szCs w:val="24"/>
          <w:highlight w:val="none"/>
          <w14:textFill>
            <w14:solidFill>
              <w14:schemeClr w14:val="tx1"/>
            </w14:solidFill>
          </w14:textFill>
        </w:rPr>
        <w:t>次开关量变位报告。开关量变位包括各种开入、开出状态变位等。</w:t>
      </w:r>
    </w:p>
    <w:p w14:paraId="2F2F406E">
      <w:pPr>
        <w:spacing w:line="360" w:lineRule="auto"/>
        <w:ind w:firstLine="474" w:firstLineChars="200"/>
        <w:outlineLvl w:val="3"/>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3)</w:t>
      </w:r>
      <w:r>
        <w:rPr>
          <w:rFonts w:hint="eastAsia" w:ascii="宋体" w:hAnsi="宋体" w:eastAsia="宋体" w:cs="宋体"/>
          <w:b/>
          <w:bCs/>
          <w:color w:val="000000" w:themeColor="text1"/>
          <w:kern w:val="2"/>
          <w:sz w:val="24"/>
          <w:szCs w:val="24"/>
          <w:highlight w:val="none"/>
          <w14:textFill>
            <w14:solidFill>
              <w14:schemeClr w14:val="tx1"/>
            </w14:solidFill>
          </w14:textFill>
        </w:rPr>
        <w:t>变压器差动保护</w:t>
      </w:r>
    </w:p>
    <w:p w14:paraId="6D9BD496">
      <w:pPr>
        <w:spacing w:line="360" w:lineRule="auto"/>
        <w:ind w:firstLine="420" w:firstLineChars="175"/>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适用于 110kV 及以下电压等级各种接线方式的两圈或三圈变压器，满足四侧差动的要求。装置通过常规电磁式互感器采集模拟量，支持 </w:t>
      </w:r>
      <w:r>
        <w:rPr>
          <w:rFonts w:ascii="宋体" w:hAnsi="宋体" w:eastAsia="宋体" w:cs="宋体"/>
          <w:color w:val="000000" w:themeColor="text1"/>
          <w:kern w:val="2"/>
          <w:sz w:val="24"/>
          <w:szCs w:val="24"/>
          <w:highlight w:val="none"/>
          <w14:textFill>
            <w14:solidFill>
              <w14:schemeClr w14:val="tx1"/>
            </w14:solidFill>
          </w14:textFill>
        </w:rPr>
        <w:t xml:space="preserve">IEC61850 </w:t>
      </w:r>
      <w:r>
        <w:rPr>
          <w:rFonts w:hint="eastAsia" w:ascii="宋体" w:hAnsi="宋体" w:eastAsia="宋体" w:cs="宋体"/>
          <w:color w:val="000000" w:themeColor="text1"/>
          <w:kern w:val="2"/>
          <w:sz w:val="24"/>
          <w:szCs w:val="24"/>
          <w:highlight w:val="none"/>
          <w14:textFill>
            <w14:solidFill>
              <w14:schemeClr w14:val="tx1"/>
            </w14:solidFill>
          </w14:textFill>
        </w:rPr>
        <w:t xml:space="preserve">规约和实时 </w:t>
      </w:r>
      <w:r>
        <w:rPr>
          <w:rFonts w:ascii="宋体" w:hAnsi="宋体" w:eastAsia="宋体" w:cs="宋体"/>
          <w:color w:val="000000" w:themeColor="text1"/>
          <w:kern w:val="2"/>
          <w:sz w:val="24"/>
          <w:szCs w:val="24"/>
          <w:highlight w:val="none"/>
          <w14:textFill>
            <w14:solidFill>
              <w14:schemeClr w14:val="tx1"/>
            </w14:solidFill>
          </w14:textFill>
        </w:rPr>
        <w:t xml:space="preserve">GOOSE </w:t>
      </w:r>
      <w:r>
        <w:rPr>
          <w:rFonts w:hint="eastAsia" w:ascii="宋体" w:hAnsi="宋体" w:eastAsia="宋体" w:cs="宋体"/>
          <w:color w:val="000000" w:themeColor="text1"/>
          <w:kern w:val="2"/>
          <w:sz w:val="24"/>
          <w:szCs w:val="24"/>
          <w:highlight w:val="none"/>
          <w14:textFill>
            <w14:solidFill>
              <w14:schemeClr w14:val="tx1"/>
            </w14:solidFill>
          </w14:textFill>
        </w:rPr>
        <w:t>功能。</w:t>
      </w:r>
    </w:p>
    <w:p w14:paraId="676FB27E">
      <w:pPr>
        <w:spacing w:line="360" w:lineRule="auto"/>
        <w:rPr>
          <w:color w:val="000000" w:themeColor="text1"/>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保护功能：</w:t>
      </w:r>
    </w:p>
    <w:p w14:paraId="75CD2409">
      <w:pPr>
        <w:widowControl/>
        <w:spacing w:line="360" w:lineRule="auto"/>
        <w:ind w:firstLine="417" w:firstLineChars="199"/>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比率差动保护（</w:t>
      </w:r>
      <w:r>
        <w:rPr>
          <w:rFonts w:ascii="Arial" w:hAnsi="Arial" w:eastAsia="宋体" w:cs="Arial"/>
          <w:color w:val="000000" w:themeColor="text1"/>
          <w:szCs w:val="21"/>
          <w:highlight w:val="none"/>
          <w14:textFill>
            <w14:solidFill>
              <w14:schemeClr w14:val="tx1"/>
            </w14:solidFill>
          </w14:textFill>
        </w:rPr>
        <w:t>87T</w:t>
      </w:r>
      <w:r>
        <w:rPr>
          <w:rFonts w:hint="eastAsia" w:ascii="宋体" w:hAnsi="宋体" w:eastAsia="宋体" w:cs="宋体"/>
          <w:color w:val="000000" w:themeColor="text1"/>
          <w:szCs w:val="21"/>
          <w:highlight w:val="none"/>
          <w14:textFill>
            <w14:solidFill>
              <w14:schemeClr w14:val="tx1"/>
            </w14:solidFill>
          </w14:textFill>
        </w:rPr>
        <w:t xml:space="preserve">）。 </w:t>
      </w:r>
    </w:p>
    <w:p w14:paraId="251B0C2A">
      <w:pPr>
        <w:widowControl/>
        <w:spacing w:line="360" w:lineRule="auto"/>
        <w:ind w:firstLine="417" w:firstLineChars="199"/>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差动速断保护（</w:t>
      </w:r>
      <w:r>
        <w:rPr>
          <w:rFonts w:ascii="Arial" w:hAnsi="Arial" w:eastAsia="宋体" w:cs="Arial"/>
          <w:color w:val="000000" w:themeColor="text1"/>
          <w:szCs w:val="21"/>
          <w:highlight w:val="none"/>
          <w14:textFill>
            <w14:solidFill>
              <w14:schemeClr w14:val="tx1"/>
            </w14:solidFill>
          </w14:textFill>
        </w:rPr>
        <w:t>87UT</w:t>
      </w:r>
      <w:r>
        <w:rPr>
          <w:rFonts w:hint="eastAsia" w:ascii="宋体" w:hAnsi="宋体" w:eastAsia="宋体" w:cs="宋体"/>
          <w:color w:val="000000" w:themeColor="text1"/>
          <w:szCs w:val="21"/>
          <w:highlight w:val="none"/>
          <w14:textFill>
            <w14:solidFill>
              <w14:schemeClr w14:val="tx1"/>
            </w14:solidFill>
          </w14:textFill>
        </w:rPr>
        <w:t xml:space="preserve">）。 </w:t>
      </w:r>
    </w:p>
    <w:p w14:paraId="5D9DAFAF">
      <w:pPr>
        <w:widowControl/>
        <w:spacing w:line="360" w:lineRule="auto"/>
        <w:ind w:firstLine="417" w:firstLineChars="199"/>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中、低压侧后备过流保护（</w:t>
      </w:r>
      <w:r>
        <w:rPr>
          <w:rFonts w:ascii="Arial" w:hAnsi="Arial" w:eastAsia="宋体" w:cs="Arial"/>
          <w:color w:val="000000" w:themeColor="text1"/>
          <w:szCs w:val="21"/>
          <w:highlight w:val="none"/>
          <w14:textFill>
            <w14:solidFill>
              <w14:schemeClr w14:val="tx1"/>
            </w14:solidFill>
          </w14:textFill>
        </w:rPr>
        <w:t>51P</w:t>
      </w:r>
      <w:r>
        <w:rPr>
          <w:rFonts w:hint="eastAsia" w:ascii="宋体" w:hAnsi="宋体" w:eastAsia="宋体" w:cs="宋体"/>
          <w:color w:val="000000" w:themeColor="text1"/>
          <w:szCs w:val="21"/>
          <w:highlight w:val="none"/>
          <w14:textFill>
            <w14:solidFill>
              <w14:schemeClr w14:val="tx1"/>
            </w14:solidFill>
          </w14:textFill>
        </w:rPr>
        <w:t xml:space="preserve">）。 </w:t>
      </w:r>
    </w:p>
    <w:p w14:paraId="26374753">
      <w:pPr>
        <w:widowControl/>
        <w:spacing w:line="360" w:lineRule="auto"/>
        <w:ind w:firstLine="417" w:firstLineChars="199"/>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异常报警功能： </w:t>
      </w:r>
    </w:p>
    <w:p w14:paraId="40F985F6">
      <w:pPr>
        <w:widowControl/>
        <w:spacing w:line="360" w:lineRule="auto"/>
        <w:ind w:firstLine="835" w:firstLineChars="398"/>
        <w:jc w:val="left"/>
        <w:rPr>
          <w:color w:val="000000" w:themeColor="text1"/>
          <w:highlight w:val="none"/>
          <w14:textFill>
            <w14:solidFill>
              <w14:schemeClr w14:val="tx1"/>
            </w14:solidFill>
          </w14:textFill>
        </w:rPr>
      </w:pPr>
      <w:r>
        <w:rPr>
          <w:rFonts w:hint="eastAsia" w:ascii="Arial" w:hAnsi="Arial" w:eastAsia="宋体" w:cs="Arial"/>
          <w:color w:val="000000" w:themeColor="text1"/>
          <w:szCs w:val="21"/>
          <w:highlight w:val="none"/>
          <w14:textFill>
            <w14:solidFill>
              <w14:schemeClr w14:val="tx1"/>
            </w14:solidFill>
          </w14:textFill>
        </w:rPr>
        <w:t>a</w:t>
      </w:r>
      <w:r>
        <w:rPr>
          <w:rFonts w:hint="eastAsia" w:ascii="宋体" w:hAnsi="宋体" w:eastAsia="宋体" w:cs="宋体"/>
          <w:color w:val="000000" w:themeColor="text1"/>
          <w:szCs w:val="21"/>
          <w:highlight w:val="none"/>
          <w14:textFill>
            <w14:solidFill>
              <w14:schemeClr w14:val="tx1"/>
            </w14:solidFill>
          </w14:textFill>
        </w:rPr>
        <w:t xml:space="preserve"> 差流异常报警。 </w:t>
      </w:r>
    </w:p>
    <w:p w14:paraId="39216C9A">
      <w:pPr>
        <w:widowControl/>
        <w:spacing w:line="360" w:lineRule="auto"/>
        <w:ind w:firstLine="835" w:firstLineChars="398"/>
        <w:jc w:val="left"/>
        <w:rPr>
          <w:color w:val="000000" w:themeColor="text1"/>
          <w:highlight w:val="none"/>
          <w14:textFill>
            <w14:solidFill>
              <w14:schemeClr w14:val="tx1"/>
            </w14:solidFill>
          </w14:textFill>
        </w:rPr>
      </w:pPr>
      <w:r>
        <w:rPr>
          <w:rFonts w:hint="eastAsia" w:ascii="Arial" w:hAnsi="Arial" w:eastAsia="宋体" w:cs="Arial"/>
          <w:color w:val="000000" w:themeColor="text1"/>
          <w:szCs w:val="21"/>
          <w:highlight w:val="none"/>
          <w14:textFill>
            <w14:solidFill>
              <w14:schemeClr w14:val="tx1"/>
            </w14:solidFill>
          </w14:textFill>
        </w:rPr>
        <w:t>b</w:t>
      </w:r>
      <w:r>
        <w:rPr>
          <w:rFonts w:hint="eastAsia" w:ascii="宋体" w:hAnsi="宋体" w:eastAsia="宋体" w:cs="宋体"/>
          <w:color w:val="000000" w:themeColor="text1"/>
          <w:szCs w:val="21"/>
          <w:highlight w:val="none"/>
          <w14:textFill>
            <w14:solidFill>
              <w14:schemeClr w14:val="tx1"/>
            </w14:solidFill>
          </w14:textFill>
        </w:rPr>
        <w:t xml:space="preserve"> 差动回路 </w:t>
      </w:r>
      <w:r>
        <w:rPr>
          <w:rFonts w:ascii="Arial" w:hAnsi="Arial" w:eastAsia="宋体" w:cs="Arial"/>
          <w:color w:val="000000" w:themeColor="text1"/>
          <w:szCs w:val="21"/>
          <w:highlight w:val="none"/>
          <w14:textFill>
            <w14:solidFill>
              <w14:schemeClr w14:val="tx1"/>
            </w14:solidFill>
          </w14:textFill>
        </w:rPr>
        <w:t xml:space="preserve">CT </w:t>
      </w:r>
      <w:r>
        <w:rPr>
          <w:rFonts w:hint="eastAsia" w:ascii="宋体" w:hAnsi="宋体" w:eastAsia="宋体" w:cs="宋体"/>
          <w:color w:val="000000" w:themeColor="text1"/>
          <w:szCs w:val="21"/>
          <w:highlight w:val="none"/>
          <w14:textFill>
            <w14:solidFill>
              <w14:schemeClr w14:val="tx1"/>
            </w14:solidFill>
          </w14:textFill>
        </w:rPr>
        <w:t>断线。</w:t>
      </w:r>
    </w:p>
    <w:p w14:paraId="56C043D2">
      <w:pPr>
        <w:widowControl/>
        <w:spacing w:line="360" w:lineRule="auto"/>
        <w:jc w:val="left"/>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测控功能 </w:t>
      </w:r>
    </w:p>
    <w:p w14:paraId="3FC7647D">
      <w:pPr>
        <w:widowControl/>
        <w:spacing w:line="360" w:lineRule="auto"/>
        <w:ind w:firstLine="417" w:firstLineChars="199"/>
        <w:jc w:val="left"/>
        <w:rPr>
          <w:color w:val="000000" w:themeColor="text1"/>
          <w:highlight w:val="none"/>
          <w14:textFill>
            <w14:solidFill>
              <w14:schemeClr w14:val="tx1"/>
            </w14:solidFill>
          </w14:textFill>
        </w:rPr>
      </w:pPr>
      <w:r>
        <w:rPr>
          <w:rFonts w:ascii="Arial" w:hAnsi="Arial" w:eastAsia="宋体" w:cs="Arial"/>
          <w:color w:val="000000" w:themeColor="text1"/>
          <w:szCs w:val="21"/>
          <w:highlight w:val="none"/>
          <w14:textFill>
            <w14:solidFill>
              <w14:schemeClr w14:val="tx1"/>
            </w14:solidFill>
          </w14:textFill>
        </w:rPr>
        <w:t xml:space="preserve">16 </w:t>
      </w:r>
      <w:r>
        <w:rPr>
          <w:rFonts w:hint="eastAsia" w:ascii="宋体" w:hAnsi="宋体" w:eastAsia="宋体" w:cs="宋体"/>
          <w:color w:val="000000" w:themeColor="text1"/>
          <w:szCs w:val="21"/>
          <w:highlight w:val="none"/>
          <w14:textFill>
            <w14:solidFill>
              <w14:schemeClr w14:val="tx1"/>
            </w14:solidFill>
          </w14:textFill>
        </w:rPr>
        <w:t xml:space="preserve">路自定义遥信开入。 </w:t>
      </w:r>
    </w:p>
    <w:p w14:paraId="55815CA1">
      <w:pPr>
        <w:widowControl/>
        <w:spacing w:line="360" w:lineRule="auto"/>
        <w:ind w:firstLine="417" w:firstLineChars="199"/>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事件 </w:t>
      </w:r>
      <w:r>
        <w:rPr>
          <w:rFonts w:ascii="Arial" w:hAnsi="Arial" w:eastAsia="宋体" w:cs="Arial"/>
          <w:color w:val="000000" w:themeColor="text1"/>
          <w:szCs w:val="21"/>
          <w:highlight w:val="none"/>
          <w14:textFill>
            <w14:solidFill>
              <w14:schemeClr w14:val="tx1"/>
            </w14:solidFill>
          </w14:textFill>
        </w:rPr>
        <w:t xml:space="preserve">SOE </w:t>
      </w:r>
      <w:r>
        <w:rPr>
          <w:rFonts w:hint="eastAsia" w:ascii="宋体" w:hAnsi="宋体" w:eastAsia="宋体" w:cs="宋体"/>
          <w:color w:val="000000" w:themeColor="text1"/>
          <w:szCs w:val="21"/>
          <w:highlight w:val="none"/>
          <w14:textFill>
            <w14:solidFill>
              <w14:schemeClr w14:val="tx1"/>
            </w14:solidFill>
          </w14:textFill>
        </w:rPr>
        <w:t>记录等。</w:t>
      </w:r>
    </w:p>
    <w:p w14:paraId="5E84C224">
      <w:pPr>
        <w:widowControl/>
        <w:spacing w:line="360" w:lineRule="auto"/>
        <w:jc w:val="lef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障录波和事件记录功能：</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6911"/>
      </w:tblGrid>
      <w:tr w14:paraId="6581C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380" w:type="dxa"/>
            <w:vMerge w:val="restart"/>
            <w:tcBorders>
              <w:bottom w:val="nil"/>
            </w:tcBorders>
            <w:vAlign w:val="center"/>
          </w:tcPr>
          <w:p w14:paraId="7740D945">
            <w:pPr>
              <w:pStyle w:val="250"/>
              <w:spacing w:after="0"/>
              <w:ind w:left="120" w:right="106" w:hanging="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4"/>
                <w:sz w:val="21"/>
                <w:szCs w:val="21"/>
                <w:highlight w:val="none"/>
                <w14:textFill>
                  <w14:solidFill>
                    <w14:schemeClr w14:val="tx1"/>
                  </w14:solidFill>
                </w14:textFill>
              </w:rPr>
              <w:t>故障录波、故障事件报</w:t>
            </w:r>
            <w:r>
              <w:rPr>
                <w:rFonts w:asciiTheme="minorEastAsia" w:hAnsiTheme="minorEastAsia" w:eastAsiaTheme="minorEastAsia"/>
                <w:color w:val="000000" w:themeColor="text1"/>
                <w:sz w:val="21"/>
                <w:szCs w:val="21"/>
                <w:highlight w:val="none"/>
                <w14:textFill>
                  <w14:solidFill>
                    <w14:schemeClr w14:val="tx1"/>
                  </w14:solidFill>
                </w14:textFill>
              </w:rPr>
              <w:t>告</w:t>
            </w:r>
          </w:p>
        </w:tc>
        <w:tc>
          <w:tcPr>
            <w:tcW w:w="6911" w:type="dxa"/>
            <w:vAlign w:val="center"/>
          </w:tcPr>
          <w:p w14:paraId="5E011A60">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整组启动记录启动前</w:t>
            </w:r>
            <w:r>
              <w:rPr>
                <w:rFonts w:asciiTheme="minorEastAsia" w:hAnsiTheme="minorEastAsia" w:eastAsiaTheme="minorEastAsia"/>
                <w:color w:val="000000" w:themeColor="text1"/>
                <w:spacing w:val="-47"/>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46"/>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6</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 </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个周波的波形</w:t>
            </w:r>
          </w:p>
        </w:tc>
      </w:tr>
      <w:tr w14:paraId="334F2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2380" w:type="dxa"/>
            <w:vMerge w:val="continue"/>
            <w:tcBorders>
              <w:top w:val="nil"/>
              <w:bottom w:val="nil"/>
            </w:tcBorders>
            <w:vAlign w:val="center"/>
          </w:tcPr>
          <w:p w14:paraId="586DAC49">
            <w:pPr>
              <w:jc w:val="center"/>
              <w:rPr>
                <w:rFonts w:asciiTheme="minorEastAsia" w:hAnsiTheme="minorEastAsia"/>
                <w:color w:val="000000" w:themeColor="text1"/>
                <w:highlight w:val="none"/>
                <w14:textFill>
                  <w14:solidFill>
                    <w14:schemeClr w14:val="tx1"/>
                  </w14:solidFill>
                </w14:textFill>
              </w:rPr>
            </w:pPr>
          </w:p>
        </w:tc>
        <w:tc>
          <w:tcPr>
            <w:tcW w:w="6911" w:type="dxa"/>
            <w:vAlign w:val="center"/>
          </w:tcPr>
          <w:p w14:paraId="38445053">
            <w:pPr>
              <w:pStyle w:val="250"/>
              <w:spacing w:after="0"/>
              <w:ind w:left="111" w:right="10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3"/>
                <w:sz w:val="21"/>
                <w:szCs w:val="21"/>
                <w:highlight w:val="none"/>
                <w14:textFill>
                  <w14:solidFill>
                    <w14:schemeClr w14:val="tx1"/>
                  </w14:solidFill>
                </w14:textFill>
              </w:rPr>
              <w:t>保护动作记录启动前</w:t>
            </w:r>
            <w:r>
              <w:rPr>
                <w:rFonts w:asciiTheme="minorEastAsia" w:hAnsiTheme="minorEastAsia" w:eastAsiaTheme="minorEastAsia"/>
                <w:color w:val="000000" w:themeColor="text1"/>
                <w:spacing w:val="-44"/>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47"/>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个周波，动作前</w:t>
            </w:r>
            <w:r>
              <w:rPr>
                <w:rFonts w:asciiTheme="minorEastAsia" w:hAnsiTheme="minorEastAsia" w:eastAsiaTheme="minorEastAsia"/>
                <w:color w:val="000000" w:themeColor="text1"/>
                <w:spacing w:val="-45"/>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3"/>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3"/>
                <w:sz w:val="21"/>
                <w:szCs w:val="21"/>
                <w:highlight w:val="none"/>
                <w14:textFill>
                  <w14:solidFill>
                    <w14:schemeClr w14:val="tx1"/>
                  </w14:solidFill>
                </w14:textFill>
              </w:rPr>
              <w:t>个周波、动作</w:t>
            </w:r>
            <w:r>
              <w:rPr>
                <w:rFonts w:asciiTheme="minorEastAsia" w:hAnsiTheme="minorEastAsia" w:eastAsiaTheme="minorEastAsia"/>
                <w:color w:val="000000" w:themeColor="text1"/>
                <w:spacing w:val="-4"/>
                <w:sz w:val="21"/>
                <w:szCs w:val="21"/>
                <w:highlight w:val="none"/>
                <w14:textFill>
                  <w14:solidFill>
                    <w14:schemeClr w14:val="tx1"/>
                  </w14:solidFill>
                </w14:textFill>
              </w:rPr>
              <w:t>后</w:t>
            </w:r>
            <w:r>
              <w:rPr>
                <w:rFonts w:asciiTheme="minorEastAsia" w:hAnsiTheme="minorEastAsia" w:eastAsiaTheme="minorEastAsia"/>
                <w:color w:val="000000" w:themeColor="text1"/>
                <w:spacing w:val="-4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4"/>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4"/>
                <w:sz w:val="21"/>
                <w:szCs w:val="21"/>
                <w:highlight w:val="none"/>
                <w14:textFill>
                  <w14:solidFill>
                    <w14:schemeClr w14:val="tx1"/>
                  </w14:solidFill>
                </w14:textFill>
              </w:rPr>
              <w:t>个周波</w:t>
            </w:r>
          </w:p>
        </w:tc>
      </w:tr>
      <w:tr w14:paraId="47466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Merge w:val="continue"/>
            <w:tcBorders>
              <w:top w:val="nil"/>
            </w:tcBorders>
            <w:vAlign w:val="center"/>
          </w:tcPr>
          <w:p w14:paraId="488A606F">
            <w:pPr>
              <w:jc w:val="center"/>
              <w:rPr>
                <w:rFonts w:asciiTheme="minorEastAsia" w:hAnsiTheme="minorEastAsia"/>
                <w:color w:val="000000" w:themeColor="text1"/>
                <w:highlight w:val="none"/>
                <w14:textFill>
                  <w14:solidFill>
                    <w14:schemeClr w14:val="tx1"/>
                  </w14:solidFill>
                </w14:textFill>
              </w:rPr>
            </w:pPr>
          </w:p>
        </w:tc>
        <w:tc>
          <w:tcPr>
            <w:tcW w:w="6911" w:type="dxa"/>
            <w:vAlign w:val="center"/>
          </w:tcPr>
          <w:p w14:paraId="56B5177E">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44"/>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次保护动作报告、</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w:t>
            </w:r>
            <w:r>
              <w:rPr>
                <w:rFonts w:asciiTheme="minorEastAsia" w:hAnsiTheme="minorEastAsia" w:eastAsiaTheme="minorEastAsia"/>
                <w:color w:val="000000" w:themeColor="text1"/>
                <w:spacing w:val="-2"/>
                <w:sz w:val="21"/>
                <w:szCs w:val="21"/>
                <w:highlight w:val="none"/>
                <w14:textFill>
                  <w14:solidFill>
                    <w14:schemeClr w14:val="tx1"/>
                  </w14:solidFill>
                </w14:textFill>
              </w:rPr>
              <w:t>故障录波</w:t>
            </w:r>
          </w:p>
        </w:tc>
      </w:tr>
      <w:tr w14:paraId="2583E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Align w:val="center"/>
          </w:tcPr>
          <w:p w14:paraId="7CF01D7A">
            <w:pPr>
              <w:pStyle w:val="250"/>
              <w:spacing w:after="0"/>
              <w:ind w:left="117"/>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人工触发录波</w:t>
            </w:r>
          </w:p>
        </w:tc>
        <w:tc>
          <w:tcPr>
            <w:tcW w:w="6911" w:type="dxa"/>
            <w:vAlign w:val="center"/>
          </w:tcPr>
          <w:p w14:paraId="4E2004C5">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具备手动及远方触发录波功能，以供记录或校验极性</w:t>
            </w:r>
          </w:p>
        </w:tc>
      </w:tr>
      <w:tr w14:paraId="1CA6C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Align w:val="center"/>
          </w:tcPr>
          <w:p w14:paraId="50B564D0">
            <w:pPr>
              <w:pStyle w:val="250"/>
              <w:spacing w:after="0"/>
              <w:ind w:left="117"/>
              <w:rPr>
                <w:rFonts w:asciiTheme="minorEastAsia" w:hAnsiTheme="minorEastAsia" w:eastAsia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olor w:val="000000" w:themeColor="text1"/>
                <w:spacing w:val="-2"/>
                <w:sz w:val="21"/>
                <w:szCs w:val="21"/>
                <w:highlight w:val="none"/>
                <w14:textFill>
                  <w14:solidFill>
                    <w14:schemeClr w14:val="tx1"/>
                  </w14:solidFill>
                </w14:textFill>
              </w:rPr>
              <w:t>正常波形</w:t>
            </w:r>
          </w:p>
        </w:tc>
        <w:tc>
          <w:tcPr>
            <w:tcW w:w="6911" w:type="dxa"/>
            <w:vAlign w:val="center"/>
          </w:tcPr>
          <w:p w14:paraId="39178C40">
            <w:pPr>
              <w:widowControl/>
              <w:jc w:val="center"/>
              <w:rPr>
                <w:rFonts w:asciiTheme="minorEastAsia" w:hAnsiTheme="minorEastAsia"/>
                <w:color w:val="000000" w:themeColor="text1"/>
                <w:spacing w:val="-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可记录 </w:t>
            </w:r>
            <w:r>
              <w:rPr>
                <w:rFonts w:cs="Arial" w:asciiTheme="minorEastAsia" w:hAnsiTheme="minorEastAsia"/>
                <w:color w:val="000000" w:themeColor="text1"/>
                <w:szCs w:val="21"/>
                <w:highlight w:val="none"/>
                <w14:textFill>
                  <w14:solidFill>
                    <w14:schemeClr w14:val="tx1"/>
                  </w14:solidFill>
                </w14:textFill>
              </w:rPr>
              <w:t xml:space="preserve">5 </w:t>
            </w:r>
            <w:r>
              <w:rPr>
                <w:rFonts w:hint="eastAsia" w:cs="宋体" w:asciiTheme="minorEastAsia" w:hAnsiTheme="minorEastAsia"/>
                <w:color w:val="000000" w:themeColor="text1"/>
                <w:szCs w:val="21"/>
                <w:highlight w:val="none"/>
                <w14:textFill>
                  <w14:solidFill>
                    <w14:schemeClr w14:val="tx1"/>
                  </w14:solidFill>
                </w14:textFill>
              </w:rPr>
              <w:t>个周波的波形，以供记录或校验极性。</w:t>
            </w:r>
          </w:p>
        </w:tc>
      </w:tr>
      <w:tr w14:paraId="00BBD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80" w:type="dxa"/>
            <w:vAlign w:val="center"/>
          </w:tcPr>
          <w:p w14:paraId="5E80CE52">
            <w:pPr>
              <w:pStyle w:val="250"/>
              <w:spacing w:after="0"/>
              <w:ind w:left="118"/>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异常告警</w:t>
            </w:r>
          </w:p>
        </w:tc>
        <w:tc>
          <w:tcPr>
            <w:tcW w:w="6911" w:type="dxa"/>
            <w:vAlign w:val="center"/>
          </w:tcPr>
          <w:p w14:paraId="1D7EC9ED">
            <w:pPr>
              <w:pStyle w:val="250"/>
              <w:spacing w:after="0"/>
              <w:ind w:left="11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2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1024 </w:t>
            </w:r>
            <w:r>
              <w:rPr>
                <w:rFonts w:asciiTheme="minorEastAsia" w:hAnsiTheme="minorEastAsia" w:eastAsiaTheme="minorEastAsia"/>
                <w:color w:val="000000" w:themeColor="text1"/>
                <w:spacing w:val="-2"/>
                <w:sz w:val="21"/>
                <w:szCs w:val="21"/>
                <w:highlight w:val="none"/>
                <w14:textFill>
                  <w14:solidFill>
                    <w14:schemeClr w14:val="tx1"/>
                  </w14:solidFill>
                </w14:textFill>
              </w:rPr>
              <w:t>次异常告警和装置自检报告</w:t>
            </w:r>
          </w:p>
        </w:tc>
      </w:tr>
      <w:tr w14:paraId="7BF0B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380" w:type="dxa"/>
            <w:vAlign w:val="center"/>
          </w:tcPr>
          <w:p w14:paraId="39DED5D0">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开关量变位</w:t>
            </w:r>
          </w:p>
        </w:tc>
        <w:tc>
          <w:tcPr>
            <w:tcW w:w="6911" w:type="dxa"/>
            <w:vAlign w:val="center"/>
          </w:tcPr>
          <w:p w14:paraId="06C3C30F">
            <w:pPr>
              <w:pStyle w:val="250"/>
              <w:spacing w:after="0"/>
              <w:ind w:left="110" w:right="104" w:firstLine="1"/>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 xml:space="preserve">可循环记录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1024</w:t>
            </w:r>
            <w:r>
              <w:rPr>
                <w:rFonts w:cs="Arial" w:asciiTheme="minorEastAsia" w:hAnsiTheme="minorEastAsia" w:eastAsiaTheme="minorEastAsia"/>
                <w:color w:val="000000" w:themeColor="text1"/>
                <w:spacing w:val="35"/>
                <w:w w:val="101"/>
                <w:sz w:val="21"/>
                <w:szCs w:val="21"/>
                <w:highlight w:val="none"/>
                <w14:textFill>
                  <w14:solidFill>
                    <w14:schemeClr w14:val="tx1"/>
                  </w14:solidFill>
                </w14:textFill>
              </w:rPr>
              <w:t xml:space="preserve"> </w:t>
            </w:r>
            <w:r>
              <w:rPr>
                <w:rFonts w:asciiTheme="minorEastAsia" w:hAnsiTheme="minorEastAsia" w:eastAsiaTheme="minorEastAsia"/>
                <w:color w:val="000000" w:themeColor="text1"/>
                <w:spacing w:val="-2"/>
                <w:sz w:val="21"/>
                <w:szCs w:val="21"/>
                <w:highlight w:val="none"/>
                <w14:textFill>
                  <w14:solidFill>
                    <w14:schemeClr w14:val="tx1"/>
                  </w14:solidFill>
                </w14:textFill>
              </w:rPr>
              <w:t>次开关量变位报告。开关量变位包括各种开入、开出状态变位等</w:t>
            </w:r>
          </w:p>
        </w:tc>
      </w:tr>
    </w:tbl>
    <w:p w14:paraId="2453E847">
      <w:pPr>
        <w:spacing w:line="360" w:lineRule="auto"/>
        <w:rPr>
          <w:rFonts w:ascii="宋体" w:hAnsi="宋体" w:eastAsia="宋体" w:cs="宋体"/>
          <w:color w:val="000000" w:themeColor="text1"/>
          <w:kern w:val="2"/>
          <w:sz w:val="24"/>
          <w:szCs w:val="24"/>
          <w:highlight w:val="none"/>
          <w14:textFill>
            <w14:solidFill>
              <w14:schemeClr w14:val="tx1"/>
            </w14:solidFill>
          </w14:textFill>
        </w:rPr>
      </w:pPr>
    </w:p>
    <w:p w14:paraId="5E00945F">
      <w:pPr>
        <w:widowControl/>
        <w:spacing w:line="360" w:lineRule="auto"/>
        <w:ind w:firstLine="474" w:firstLineChars="200"/>
        <w:jc w:val="left"/>
        <w:outlineLvl w:val="3"/>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变压器后备保护装置</w:t>
      </w:r>
    </w:p>
    <w:p w14:paraId="7803B8C4">
      <w:pPr>
        <w:widowControl/>
        <w:spacing w:line="360" w:lineRule="auto"/>
        <w:ind w:firstLine="420" w:firstLineChars="175"/>
        <w:jc w:val="left"/>
        <w:rPr>
          <w:rFonts w:ascii="Arial" w:hAnsi="Arial" w:eastAsia="宋体" w:cs="Arial"/>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适用于110kV及以下电压等级的变压器。装置通过常规电磁式互感器采集模拟量，支持IEC61850规约。</w:t>
      </w:r>
    </w:p>
    <w:p w14:paraId="400B07AA">
      <w:pPr>
        <w:spacing w:line="360" w:lineRule="auto"/>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保护功能</w:t>
      </w:r>
    </w:p>
    <w:p w14:paraId="72789EE8">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a 过流保护</w:t>
      </w:r>
    </w:p>
    <w:p w14:paraId="1D67429C">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b 接地零序保护</w:t>
      </w:r>
    </w:p>
    <w:p w14:paraId="22B3D57C">
      <w:pPr>
        <w:widowControl/>
        <w:spacing w:line="360" w:lineRule="auto"/>
        <w:ind w:firstLine="420" w:firstLineChars="175"/>
        <w:jc w:val="left"/>
        <w:rPr>
          <w:rFonts w:ascii="Arial" w:hAnsi="Arial" w:eastAsia="宋体" w:cs="Arial"/>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c 不接地保护：</w:t>
      </w:r>
    </w:p>
    <w:p w14:paraId="163A16F5">
      <w:pPr>
        <w:spacing w:line="360" w:lineRule="auto"/>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报警功能：</w:t>
      </w:r>
    </w:p>
    <w:p w14:paraId="4899B5DC">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a CT 断线报警。</w:t>
      </w:r>
    </w:p>
    <w:p w14:paraId="20C45D6B">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b PT 断线报警。</w:t>
      </w:r>
    </w:p>
    <w:p w14:paraId="70E43198">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c 过负荷报警。</w:t>
      </w:r>
    </w:p>
    <w:p w14:paraId="2ABCD04A">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d 零序电流报警。</w:t>
      </w:r>
    </w:p>
    <w:p w14:paraId="7F74120D">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f 零序电压报警。</w:t>
      </w:r>
    </w:p>
    <w:p w14:paraId="6AC5F618">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g 频率异常报警。</w:t>
      </w:r>
    </w:p>
    <w:p w14:paraId="329F043D">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h 启动主变风冷。</w:t>
      </w:r>
    </w:p>
    <w:p w14:paraId="28D47551">
      <w:pPr>
        <w:widowControl/>
        <w:spacing w:line="360" w:lineRule="auto"/>
        <w:ind w:firstLine="420" w:firstLineChars="175"/>
        <w:jc w:val="left"/>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i 过载闭锁有载调压。</w:t>
      </w:r>
    </w:p>
    <w:p w14:paraId="7CC4DB19">
      <w:pPr>
        <w:pStyle w:val="18"/>
        <w:spacing w:line="360" w:lineRule="auto"/>
        <w:ind w:left="118"/>
        <w:rPr>
          <w:color w:val="000000" w:themeColor="text1"/>
          <w:sz w:val="24"/>
          <w:szCs w:val="24"/>
          <w:highlight w:val="none"/>
          <w14:textFill>
            <w14:solidFill>
              <w14:schemeClr w14:val="tx1"/>
            </w14:solidFill>
          </w14:textFill>
        </w:rPr>
      </w:pPr>
      <w:r>
        <w:rPr>
          <w:bCs/>
          <w:color w:val="000000" w:themeColor="text1"/>
          <w:spacing w:val="-2"/>
          <w:sz w:val="24"/>
          <w:szCs w:val="24"/>
          <w:highlight w:val="none"/>
          <w14:textFill>
            <w14:solidFill>
              <w14:schemeClr w14:val="tx1"/>
            </w14:solidFill>
          </w14:textFill>
        </w:rPr>
        <w:t>故障录波和事件记录</w:t>
      </w:r>
    </w:p>
    <w:tbl>
      <w:tblPr>
        <w:tblStyle w:val="628"/>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5"/>
        <w:gridCol w:w="7406"/>
      </w:tblGrid>
      <w:tr w14:paraId="0EA1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885" w:type="dxa"/>
            <w:vMerge w:val="restart"/>
            <w:tcBorders>
              <w:bottom w:val="nil"/>
            </w:tcBorders>
            <w:vAlign w:val="center"/>
          </w:tcPr>
          <w:p w14:paraId="64C1D373">
            <w:pPr>
              <w:pStyle w:val="250"/>
              <w:spacing w:after="0"/>
              <w:ind w:left="115" w:right="104" w:firstLine="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3"/>
                <w:sz w:val="21"/>
                <w:szCs w:val="21"/>
                <w:highlight w:val="none"/>
                <w14:textFill>
                  <w14:solidFill>
                    <w14:schemeClr w14:val="tx1"/>
                  </w14:solidFill>
                </w14:textFill>
              </w:rPr>
              <w:t>故障录波、故障事</w:t>
            </w:r>
            <w:r>
              <w:rPr>
                <w:rFonts w:asciiTheme="minorEastAsia" w:hAnsiTheme="minorEastAsia" w:eastAsiaTheme="minorEastAsia"/>
                <w:color w:val="000000" w:themeColor="text1"/>
                <w:spacing w:val="-1"/>
                <w:sz w:val="21"/>
                <w:szCs w:val="21"/>
                <w:highlight w:val="none"/>
                <w14:textFill>
                  <w14:solidFill>
                    <w14:schemeClr w14:val="tx1"/>
                  </w14:solidFill>
                </w14:textFill>
              </w:rPr>
              <w:t>件报告</w:t>
            </w:r>
          </w:p>
        </w:tc>
        <w:tc>
          <w:tcPr>
            <w:tcW w:w="7406" w:type="dxa"/>
            <w:vAlign w:val="center"/>
          </w:tcPr>
          <w:p w14:paraId="1182838A">
            <w:pPr>
              <w:pStyle w:val="250"/>
              <w:spacing w:after="0"/>
              <w:ind w:left="113"/>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整组启动记录启动前</w:t>
            </w:r>
            <w:r>
              <w:rPr>
                <w:rFonts w:asciiTheme="minorEastAsia" w:hAnsiTheme="minorEastAsia" w:eastAsiaTheme="minorEastAsia"/>
                <w:color w:val="000000" w:themeColor="text1"/>
                <w:spacing w:val="-45"/>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46"/>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个周波的波形。</w:t>
            </w:r>
          </w:p>
        </w:tc>
      </w:tr>
      <w:tr w14:paraId="48E6A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885" w:type="dxa"/>
            <w:vMerge w:val="continue"/>
            <w:tcBorders>
              <w:top w:val="nil"/>
              <w:bottom w:val="nil"/>
            </w:tcBorders>
            <w:vAlign w:val="center"/>
          </w:tcPr>
          <w:p w14:paraId="168189B3">
            <w:pPr>
              <w:jc w:val="center"/>
              <w:rPr>
                <w:rFonts w:asciiTheme="minorEastAsia" w:hAnsiTheme="minorEastAsia"/>
                <w:color w:val="000000" w:themeColor="text1"/>
                <w:highlight w:val="none"/>
                <w14:textFill>
                  <w14:solidFill>
                    <w14:schemeClr w14:val="tx1"/>
                  </w14:solidFill>
                </w14:textFill>
              </w:rPr>
            </w:pPr>
          </w:p>
        </w:tc>
        <w:tc>
          <w:tcPr>
            <w:tcW w:w="7406" w:type="dxa"/>
            <w:vAlign w:val="center"/>
          </w:tcPr>
          <w:p w14:paraId="2127ECF8">
            <w:pPr>
              <w:pStyle w:val="250"/>
              <w:spacing w:after="0"/>
              <w:ind w:left="112" w:right="10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保护动作记录启动前</w:t>
            </w:r>
            <w:r>
              <w:rPr>
                <w:rFonts w:asciiTheme="minorEastAsia" w:hAnsiTheme="minorEastAsia" w:eastAsiaTheme="minorEastAsia"/>
                <w:color w:val="000000" w:themeColor="text1"/>
                <w:spacing w:val="-26"/>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个周波、启动后</w:t>
            </w:r>
            <w:r>
              <w:rPr>
                <w:rFonts w:asciiTheme="minorEastAsia" w:hAnsiTheme="minorEastAsia" w:eastAsiaTheme="minorEastAsia"/>
                <w:color w:val="000000" w:themeColor="text1"/>
                <w:spacing w:val="-37"/>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个周波，动作前</w:t>
            </w:r>
            <w:r>
              <w:rPr>
                <w:rFonts w:asciiTheme="minorEastAsia" w:hAnsiTheme="minorEastAsia" w:eastAsiaTheme="minorEastAsia"/>
                <w:color w:val="000000" w:themeColor="text1"/>
                <w:spacing w:val="-42"/>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2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个周波、动作后</w:t>
            </w:r>
            <w:r>
              <w:rPr>
                <w:rFonts w:asciiTheme="minorEastAsia" w:hAnsiTheme="minorEastAsia" w:eastAsiaTheme="minorEastAsia"/>
                <w:color w:val="000000" w:themeColor="text1"/>
                <w:spacing w:val="-39"/>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6</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个周波，以及中间有扰动的</w:t>
            </w:r>
            <w:r>
              <w:rPr>
                <w:rFonts w:asciiTheme="minorEastAsia" w:hAnsiTheme="minorEastAsia" w:eastAsiaTheme="minorEastAsia"/>
                <w:color w:val="000000" w:themeColor="text1"/>
                <w:spacing w:val="-19"/>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16 </w:t>
            </w:r>
            <w:r>
              <w:rPr>
                <w:rFonts w:asciiTheme="minorEastAsia" w:hAnsiTheme="minorEastAsia" w:eastAsiaTheme="minorEastAsia"/>
                <w:color w:val="000000" w:themeColor="text1"/>
                <w:spacing w:val="-2"/>
                <w:sz w:val="21"/>
                <w:szCs w:val="21"/>
                <w:highlight w:val="none"/>
                <w14:textFill>
                  <w14:solidFill>
                    <w14:schemeClr w14:val="tx1"/>
                  </w14:solidFill>
                </w14:textFill>
              </w:rPr>
              <w:t>个周波的波形。</w:t>
            </w:r>
          </w:p>
        </w:tc>
      </w:tr>
      <w:tr w14:paraId="7C2A3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885" w:type="dxa"/>
            <w:vMerge w:val="continue"/>
            <w:tcBorders>
              <w:top w:val="nil"/>
            </w:tcBorders>
            <w:vAlign w:val="center"/>
          </w:tcPr>
          <w:p w14:paraId="4ACCFBB0">
            <w:pPr>
              <w:jc w:val="center"/>
              <w:rPr>
                <w:rFonts w:asciiTheme="minorEastAsia" w:hAnsiTheme="minorEastAsia"/>
                <w:color w:val="000000" w:themeColor="text1"/>
                <w:highlight w:val="none"/>
                <w14:textFill>
                  <w14:solidFill>
                    <w14:schemeClr w14:val="tx1"/>
                  </w14:solidFill>
                </w14:textFill>
              </w:rPr>
            </w:pPr>
          </w:p>
        </w:tc>
        <w:tc>
          <w:tcPr>
            <w:tcW w:w="7406" w:type="dxa"/>
            <w:vAlign w:val="center"/>
          </w:tcPr>
          <w:p w14:paraId="75D1F22C">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44"/>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次保护动作报告、</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64 </w:t>
            </w:r>
            <w:r>
              <w:rPr>
                <w:rFonts w:asciiTheme="minorEastAsia" w:hAnsiTheme="minorEastAsia" w:eastAsiaTheme="minorEastAsia"/>
                <w:color w:val="000000" w:themeColor="text1"/>
                <w:spacing w:val="-1"/>
                <w:sz w:val="21"/>
                <w:szCs w:val="21"/>
                <w:highlight w:val="none"/>
                <w14:textFill>
                  <w14:solidFill>
                    <w14:schemeClr w14:val="tx1"/>
                  </w14:solidFill>
                </w14:textFill>
              </w:rPr>
              <w:t>次故</w:t>
            </w:r>
            <w:r>
              <w:rPr>
                <w:rFonts w:asciiTheme="minorEastAsia" w:hAnsiTheme="minorEastAsia" w:eastAsiaTheme="minorEastAsia"/>
                <w:color w:val="000000" w:themeColor="text1"/>
                <w:spacing w:val="-2"/>
                <w:sz w:val="21"/>
                <w:szCs w:val="21"/>
                <w:highlight w:val="none"/>
                <w14:textFill>
                  <w14:solidFill>
                    <w14:schemeClr w14:val="tx1"/>
                  </w14:solidFill>
                </w14:textFill>
              </w:rPr>
              <w:t>障录波。</w:t>
            </w:r>
          </w:p>
        </w:tc>
      </w:tr>
      <w:tr w14:paraId="13643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885" w:type="dxa"/>
            <w:vAlign w:val="center"/>
          </w:tcPr>
          <w:p w14:paraId="287D7F02">
            <w:pPr>
              <w:pStyle w:val="250"/>
              <w:spacing w:after="0"/>
              <w:ind w:left="120"/>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3"/>
                <w:sz w:val="21"/>
                <w:szCs w:val="21"/>
                <w:highlight w:val="none"/>
                <w14:textFill>
                  <w14:solidFill>
                    <w14:schemeClr w14:val="tx1"/>
                  </w14:solidFill>
                </w14:textFill>
              </w:rPr>
              <w:t>正常波形</w:t>
            </w:r>
          </w:p>
        </w:tc>
        <w:tc>
          <w:tcPr>
            <w:tcW w:w="7406" w:type="dxa"/>
            <w:vAlign w:val="center"/>
          </w:tcPr>
          <w:p w14:paraId="3FB2959F">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1"/>
                <w:sz w:val="21"/>
                <w:szCs w:val="21"/>
                <w:highlight w:val="none"/>
                <w14:textFill>
                  <w14:solidFill>
                    <w14:schemeClr w14:val="tx1"/>
                  </w14:solidFill>
                </w14:textFill>
              </w:rPr>
              <w:t>可记录</w:t>
            </w:r>
            <w:r>
              <w:rPr>
                <w:rFonts w:asciiTheme="minorEastAsia" w:hAnsiTheme="minorEastAsia" w:eastAsiaTheme="minorEastAsia"/>
                <w:color w:val="000000" w:themeColor="text1"/>
                <w:spacing w:val="-43"/>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1"/>
                <w:sz w:val="21"/>
                <w:szCs w:val="21"/>
                <w:highlight w:val="none"/>
                <w14:textFill>
                  <w14:solidFill>
                    <w14:schemeClr w14:val="tx1"/>
                  </w14:solidFill>
                </w14:textFill>
              </w:rPr>
              <w:t xml:space="preserve">5 </w:t>
            </w:r>
            <w:r>
              <w:rPr>
                <w:rFonts w:asciiTheme="minorEastAsia" w:hAnsiTheme="minorEastAsia" w:eastAsiaTheme="minorEastAsia"/>
                <w:color w:val="000000" w:themeColor="text1"/>
                <w:spacing w:val="-1"/>
                <w:sz w:val="21"/>
                <w:szCs w:val="21"/>
                <w:highlight w:val="none"/>
                <w14:textFill>
                  <w14:solidFill>
                    <w14:schemeClr w14:val="tx1"/>
                  </w14:solidFill>
                </w14:textFill>
              </w:rPr>
              <w:t>个周波的波形，以供记录或校验极性。</w:t>
            </w:r>
          </w:p>
        </w:tc>
      </w:tr>
      <w:tr w14:paraId="333C5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885" w:type="dxa"/>
            <w:vAlign w:val="center"/>
          </w:tcPr>
          <w:p w14:paraId="08BF7931">
            <w:pPr>
              <w:pStyle w:val="250"/>
              <w:spacing w:after="0"/>
              <w:ind w:left="118"/>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异常报警</w:t>
            </w:r>
          </w:p>
        </w:tc>
        <w:tc>
          <w:tcPr>
            <w:tcW w:w="7406" w:type="dxa"/>
            <w:vAlign w:val="center"/>
          </w:tcPr>
          <w:p w14:paraId="5EEE38D2">
            <w:pPr>
              <w:pStyle w:val="250"/>
              <w:spacing w:after="0"/>
              <w:ind w:left="11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20"/>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2"/>
                <w:sz w:val="21"/>
                <w:szCs w:val="21"/>
                <w:highlight w:val="none"/>
                <w14:textFill>
                  <w14:solidFill>
                    <w14:schemeClr w14:val="tx1"/>
                  </w14:solidFill>
                </w14:textFill>
              </w:rPr>
              <w:t xml:space="preserve">1024 </w:t>
            </w:r>
            <w:r>
              <w:rPr>
                <w:rFonts w:asciiTheme="minorEastAsia" w:hAnsiTheme="minorEastAsia" w:eastAsiaTheme="minorEastAsia"/>
                <w:color w:val="000000" w:themeColor="text1"/>
                <w:spacing w:val="-2"/>
                <w:sz w:val="21"/>
                <w:szCs w:val="21"/>
                <w:highlight w:val="none"/>
                <w14:textFill>
                  <w14:solidFill>
                    <w14:schemeClr w14:val="tx1"/>
                  </w14:solidFill>
                </w14:textFill>
              </w:rPr>
              <w:t>次异常报警和装置自检报告。</w:t>
            </w:r>
          </w:p>
        </w:tc>
      </w:tr>
      <w:tr w14:paraId="3BB70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885" w:type="dxa"/>
            <w:vAlign w:val="center"/>
          </w:tcPr>
          <w:p w14:paraId="67701BF2">
            <w:pPr>
              <w:pStyle w:val="250"/>
              <w:spacing w:after="0"/>
              <w:ind w:left="116"/>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2"/>
                <w:sz w:val="21"/>
                <w:szCs w:val="21"/>
                <w:highlight w:val="none"/>
                <w14:textFill>
                  <w14:solidFill>
                    <w14:schemeClr w14:val="tx1"/>
                  </w14:solidFill>
                </w14:textFill>
              </w:rPr>
              <w:t>开关量变位</w:t>
            </w:r>
          </w:p>
        </w:tc>
        <w:tc>
          <w:tcPr>
            <w:tcW w:w="7406" w:type="dxa"/>
            <w:vAlign w:val="center"/>
          </w:tcPr>
          <w:p w14:paraId="6B5D5C00">
            <w:pPr>
              <w:pStyle w:val="250"/>
              <w:spacing w:after="0"/>
              <w:ind w:left="114" w:right="104"/>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pacing w:val="-4"/>
                <w:sz w:val="21"/>
                <w:szCs w:val="21"/>
                <w:highlight w:val="none"/>
                <w14:textFill>
                  <w14:solidFill>
                    <w14:schemeClr w14:val="tx1"/>
                  </w14:solidFill>
                </w14:textFill>
              </w:rPr>
              <w:t>可循环记录</w:t>
            </w:r>
            <w:r>
              <w:rPr>
                <w:rFonts w:asciiTheme="minorEastAsia" w:hAnsiTheme="minorEastAsia" w:eastAsiaTheme="minorEastAsia"/>
                <w:color w:val="000000" w:themeColor="text1"/>
                <w:spacing w:val="-22"/>
                <w:sz w:val="21"/>
                <w:szCs w:val="21"/>
                <w:highlight w:val="none"/>
                <w14:textFill>
                  <w14:solidFill>
                    <w14:schemeClr w14:val="tx1"/>
                  </w14:solidFill>
                </w14:textFill>
              </w:rPr>
              <w:t xml:space="preserve"> </w:t>
            </w:r>
            <w:r>
              <w:rPr>
                <w:rFonts w:cs="Arial" w:asciiTheme="minorEastAsia" w:hAnsiTheme="minorEastAsia" w:eastAsiaTheme="minorEastAsia"/>
                <w:color w:val="000000" w:themeColor="text1"/>
                <w:spacing w:val="-4"/>
                <w:sz w:val="21"/>
                <w:szCs w:val="21"/>
                <w:highlight w:val="none"/>
                <w14:textFill>
                  <w14:solidFill>
                    <w14:schemeClr w14:val="tx1"/>
                  </w14:solidFill>
                </w14:textFill>
              </w:rPr>
              <w:t xml:space="preserve">1024 </w:t>
            </w:r>
            <w:r>
              <w:rPr>
                <w:rFonts w:asciiTheme="minorEastAsia" w:hAnsiTheme="minorEastAsia" w:eastAsiaTheme="minorEastAsia"/>
                <w:color w:val="000000" w:themeColor="text1"/>
                <w:spacing w:val="-4"/>
                <w:sz w:val="21"/>
                <w:szCs w:val="21"/>
                <w:highlight w:val="none"/>
                <w14:textFill>
                  <w14:solidFill>
                    <w14:schemeClr w14:val="tx1"/>
                  </w14:solidFill>
                </w14:textFill>
              </w:rPr>
              <w:t>次开关量变位报告。开关量变位包括各种开入、开出状态变位</w:t>
            </w:r>
            <w:r>
              <w:rPr>
                <w:rFonts w:asciiTheme="minorEastAsia" w:hAnsiTheme="minorEastAsia" w:eastAsiaTheme="minorEastAsia"/>
                <w:color w:val="000000" w:themeColor="text1"/>
                <w:spacing w:val="-10"/>
                <w:sz w:val="21"/>
                <w:szCs w:val="21"/>
                <w:highlight w:val="none"/>
                <w14:textFill>
                  <w14:solidFill>
                    <w14:schemeClr w14:val="tx1"/>
                  </w14:solidFill>
                </w14:textFill>
              </w:rPr>
              <w:t>等。</w:t>
            </w:r>
          </w:p>
        </w:tc>
      </w:tr>
    </w:tbl>
    <w:p w14:paraId="36EAC28B">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p>
    <w:p w14:paraId="130B6197">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4.3工控机</w:t>
      </w:r>
    </w:p>
    <w:p w14:paraId="6493D802">
      <w:pPr>
        <w:adjustRightInd w:val="0"/>
        <w:snapToGrid w:val="0"/>
        <w:spacing w:line="360" w:lineRule="auto"/>
        <w:ind w:firstLine="480" w:firstLineChars="200"/>
        <w:outlineLvl w:val="2"/>
        <w:rPr>
          <w:rFonts w:ascii="Times New Roman" w:hAnsi="Times New Roman" w:eastAsia="宋体" w:cs="Times New Roman"/>
          <w:color w:val="000000" w:themeColor="text1"/>
          <w:kern w:val="2"/>
          <w:sz w:val="24"/>
          <w:szCs w:val="24"/>
          <w:highlight w:val="none"/>
          <w14:textFill>
            <w14:solidFill>
              <w14:schemeClr w14:val="tx1"/>
            </w14:solidFill>
          </w14:textFill>
        </w:rPr>
      </w:pPr>
      <w:r>
        <w:rPr>
          <w:rFonts w:ascii="Times New Roman" w:hAnsi="宋体" w:eastAsia="宋体" w:cs="Times New Roman"/>
          <w:color w:val="000000" w:themeColor="text1"/>
          <w:kern w:val="2"/>
          <w:sz w:val="24"/>
          <w:szCs w:val="24"/>
          <w:highlight w:val="none"/>
          <w14:textFill>
            <w14:solidFill>
              <w14:schemeClr w14:val="tx1"/>
            </w14:solidFill>
          </w14:textFill>
        </w:rPr>
        <w:t>工控机规格参数：</w:t>
      </w:r>
      <w:r>
        <w:rPr>
          <w:rFonts w:ascii="Times New Roman" w:hAnsi="Times New Roman" w:eastAsia="宋体" w:cs="Times New Roman"/>
          <w:color w:val="000000" w:themeColor="text1"/>
          <w:kern w:val="2"/>
          <w:sz w:val="24"/>
          <w:szCs w:val="24"/>
          <w:highlight w:val="none"/>
          <w14:textFill>
            <w14:solidFill>
              <w14:schemeClr w14:val="tx1"/>
            </w14:solidFill>
          </w14:textFill>
        </w:rPr>
        <w:t>300W\双通道(Non-ECC) DDR41866/2133MHz</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 xml:space="preserve"> </w:t>
      </w:r>
      <w:r>
        <w:rPr>
          <w:rFonts w:ascii="Times New Roman" w:hAnsi="Times New Roman" w:eastAsia="宋体" w:cs="Times New Roman"/>
          <w:color w:val="000000" w:themeColor="text1"/>
          <w:kern w:val="2"/>
          <w:sz w:val="24"/>
          <w:szCs w:val="24"/>
          <w:highlight w:val="none"/>
          <w14:textFill>
            <w14:solidFill>
              <w14:schemeClr w14:val="tx1"/>
            </w14:solidFill>
          </w14:textFill>
        </w:rPr>
        <w:t>高达32GB(16GBper DIMM)，2</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w:t>
      </w:r>
      <w:r>
        <w:rPr>
          <w:rFonts w:ascii="Times New Roman" w:hAnsi="Times New Roman" w:eastAsia="宋体" w:cs="Times New Roman"/>
          <w:color w:val="000000" w:themeColor="text1"/>
          <w:kern w:val="2"/>
          <w:sz w:val="24"/>
          <w:szCs w:val="24"/>
          <w:highlight w:val="none"/>
          <w14:textFill>
            <w14:solidFill>
              <w14:schemeClr w14:val="tx1"/>
            </w14:solidFill>
          </w14:textFill>
        </w:rPr>
        <w:t>太网接口 10/100/1000 Mbps</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w:t>
      </w:r>
      <w:r>
        <w:rPr>
          <w:rFonts w:ascii="Times New Roman" w:hAnsi="Times New Roman" w:eastAsia="宋体" w:cs="Times New Roman"/>
          <w:color w:val="000000" w:themeColor="text1"/>
          <w:kern w:val="2"/>
          <w:sz w:val="24"/>
          <w:szCs w:val="24"/>
          <w:highlight w:val="none"/>
          <w14:textFill>
            <w14:solidFill>
              <w14:schemeClr w14:val="tx1"/>
            </w14:solidFill>
          </w14:textFill>
        </w:rPr>
        <w:t>4通道SATA 600MB/s，1</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w:t>
      </w:r>
      <w:r>
        <w:rPr>
          <w:rFonts w:ascii="Times New Roman" w:hAnsi="Times New Roman" w:eastAsia="宋体" w:cs="Times New Roman"/>
          <w:color w:val="000000" w:themeColor="text1"/>
          <w:kern w:val="2"/>
          <w:sz w:val="24"/>
          <w:szCs w:val="24"/>
          <w:highlight w:val="none"/>
          <w14:textFill>
            <w14:solidFill>
              <w14:schemeClr w14:val="tx1"/>
            </w14:solidFill>
          </w14:textFill>
        </w:rPr>
        <w:t>CIe x16 (Gen3)和1</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w:t>
      </w:r>
      <w:r>
        <w:rPr>
          <w:rFonts w:ascii="Times New Roman" w:hAnsi="Times New Roman" w:eastAsia="宋体" w:cs="Times New Roman"/>
          <w:color w:val="000000" w:themeColor="text1"/>
          <w:kern w:val="2"/>
          <w:sz w:val="24"/>
          <w:szCs w:val="24"/>
          <w:highlight w:val="none"/>
          <w14:textFill>
            <w14:solidFill>
              <w14:schemeClr w14:val="tx1"/>
            </w14:solidFill>
          </w14:textFill>
        </w:rPr>
        <w:t>CIe x4 (Gen2)和5</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w:t>
      </w:r>
      <w:r>
        <w:rPr>
          <w:rFonts w:ascii="Times New Roman" w:hAnsi="Times New Roman" w:eastAsia="宋体" w:cs="Times New Roman"/>
          <w:color w:val="000000" w:themeColor="text1"/>
          <w:kern w:val="2"/>
          <w:sz w:val="24"/>
          <w:szCs w:val="24"/>
          <w:highlight w:val="none"/>
          <w14:textFill>
            <w14:solidFill>
              <w14:schemeClr w14:val="tx1"/>
            </w14:solidFill>
          </w14:textFill>
        </w:rPr>
        <w:t>CI扩展槽\I7 4核 3.6GHz，up to 4.2GHz，内置HD 630核显\16G\≥512SSD固态硬盘，4T机械硬盘\USB键鼠\DVD\2*千兆网口\32寸显示器\含Windows 2012 server 中文标准版，配套报表输出设备。</w:t>
      </w:r>
    </w:p>
    <w:p w14:paraId="158E43FA">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4.4通信管理机</w:t>
      </w:r>
    </w:p>
    <w:p w14:paraId="6261A52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bookmarkStart w:id="63" w:name="OLE_LINK10"/>
      <w:bookmarkStart w:id="64" w:name="OLE_LINK11"/>
      <w:bookmarkStart w:id="65" w:name="OLE_LINK9"/>
      <w:r>
        <w:rPr>
          <w:rFonts w:hint="eastAsia" w:ascii="宋体" w:hAnsi="宋体" w:eastAsia="宋体" w:cs="宋体"/>
          <w:color w:val="000000" w:themeColor="text1"/>
          <w:kern w:val="2"/>
          <w:sz w:val="24"/>
          <w:szCs w:val="24"/>
          <w:highlight w:val="none"/>
          <w14:textFill>
            <w14:solidFill>
              <w14:schemeClr w14:val="tx1"/>
            </w14:solidFill>
          </w14:textFill>
        </w:rPr>
        <w:t>16路串口，2路以太网口，与保护、直流屏、仪表等通信，支持modbus RTU、IEC101主/从站、IEC103串口/网络主站、IEC104主/从站、IEC61850服务器/客户端等规约协议。能将与保护、直流、仪表等采集的数据通过modbus tcp协议传输至PLC设备。8G存储， 512MB内存。</w:t>
      </w:r>
      <w:bookmarkEnd w:id="63"/>
      <w:r>
        <w:rPr>
          <w:rFonts w:hint="eastAsia" w:ascii="宋体" w:hAnsi="宋体" w:eastAsia="宋体" w:cs="宋体"/>
          <w:color w:val="000000" w:themeColor="text1"/>
          <w:kern w:val="2"/>
          <w:sz w:val="24"/>
          <w:szCs w:val="24"/>
          <w:highlight w:val="none"/>
          <w14:textFill>
            <w14:solidFill>
              <w14:schemeClr w14:val="tx1"/>
            </w14:solidFill>
          </w14:textFill>
        </w:rPr>
        <w:t>AC220V供电。</w:t>
      </w:r>
      <w:bookmarkEnd w:id="64"/>
    </w:p>
    <w:bookmarkEnd w:id="65"/>
    <w:p w14:paraId="4AD3DD5B">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4.5控制柜</w:t>
      </w:r>
    </w:p>
    <w:p w14:paraId="79DF9C8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本系统设备所用的机柜应有屏蔽、防尘、通风和防潮措施，机柜的电磁屏蔽特性应保证本系统能正常工作和不影响泵站其它设备的正常工作。底部应留有电缆入口，电缆安装完毕后应可封堵。 </w:t>
      </w:r>
    </w:p>
    <w:p w14:paraId="1AFF8C2A">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机柜的结构尺寸、开门位置、端子排或接线盒的型式及布置、电缆引入位置及颜色等应满足用户要求。工作电源选用交直流双供电装置，供电装置同时引入直流装置逆变交流、站用直流两路电源，通过内部电路达到双电源的无扰动切换。 </w:t>
      </w:r>
    </w:p>
    <w:p w14:paraId="640FB5EE">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机柜壳体应由坚固的、自支持的钢板构成，柜体侧向钢板 1.5mm 厚，柜门钢板2.0mm 厚（当机柜前门采用钢化玻璃门时，玻璃厚度应不小于 5.0mm），机柜外壳采用环氧树脂粉末静电喷涂，颜色由买方确定，柜体防护等级不低于 IP44~65。机柜应装有带密封件和铰链的门，壳体的每扇门应装有手柄和安全锁。盘、柜顶部设置吊耳。机柜的基座设计应使得屏柜易于在地面固定安装。 </w:t>
      </w:r>
    </w:p>
    <w:p w14:paraId="41BE46E1">
      <w:pPr>
        <w:adjustRightInd w:val="0"/>
        <w:snapToGrid w:val="0"/>
        <w:spacing w:line="360" w:lineRule="auto"/>
        <w:ind w:left="425"/>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(1)</w:t>
      </w:r>
      <w:r>
        <w:rPr>
          <w:rFonts w:hint="eastAsia" w:ascii="宋体" w:hAnsi="宋体" w:eastAsia="宋体" w:cs="宋体"/>
          <w:b/>
          <w:color w:val="000000" w:themeColor="text1"/>
          <w:kern w:val="2"/>
          <w:sz w:val="24"/>
          <w:szCs w:val="24"/>
          <w:highlight w:val="none"/>
          <w14:textFill>
            <w14:solidFill>
              <w14:schemeClr w14:val="tx1"/>
            </w14:solidFill>
          </w14:textFill>
        </w:rPr>
        <w:t xml:space="preserve">电缆及端子 </w:t>
      </w:r>
    </w:p>
    <w:p w14:paraId="3843B99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1)、机柜内所有电缆芯线均应按电气原理图和端子接线图编号。 </w:t>
      </w:r>
    </w:p>
    <w:p w14:paraId="1FB2E96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2)、机柜间的所有连接电缆、光缆均需应统一编号，并在电缆头处挂有注明此电缆规格型号及走向编号的标志牌。 </w:t>
      </w:r>
    </w:p>
    <w:p w14:paraId="0E5B61F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3)、所有端子排均应是带有隔板的压模型元件，每个端子排上应设有浅色的标志带，便于在上面标明端子编号、端子排编号，编号应满足持久不退色的要求。 </w:t>
      </w:r>
    </w:p>
    <w:p w14:paraId="6AFA902E">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4)、机柜内设备的输出/输入点（包括备用点）均应接至端子上，并至少提供 20%的备用端子。机柜内应配置光纤保护盒，便于光缆接入的熔接保护。 </w:t>
      </w:r>
    </w:p>
    <w:p w14:paraId="24FF3E8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5)、所有端子排均应是带有隔板的压模型元件，每个端子排上应设有浅色的标志带，便于在上面标明端子编号、端子排编号，编号应持久不褪色。 </w:t>
      </w:r>
    </w:p>
    <w:p w14:paraId="552D736A">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6)、自动化控制系统所采用的信号及控制电缆应选用屏蔽电缆，电缆单芯截面面积不应小于 1.5mm</w:t>
      </w:r>
      <w:r>
        <w:rPr>
          <w:rFonts w:hint="eastAsia" w:ascii="宋体" w:hAnsi="宋体" w:eastAsia="宋体" w:cs="宋体"/>
          <w:color w:val="000000" w:themeColor="text1"/>
          <w:kern w:val="2"/>
          <w:sz w:val="24"/>
          <w:szCs w:val="24"/>
          <w:highlight w:val="none"/>
          <w:vertAlign w:val="superscript"/>
          <w14:textFill>
            <w14:solidFill>
              <w14:schemeClr w14:val="tx1"/>
            </w14:solidFill>
          </w14:textFill>
        </w:rPr>
        <w:t>2</w:t>
      </w:r>
      <w:r>
        <w:rPr>
          <w:rFonts w:hint="eastAsia" w:ascii="宋体" w:hAnsi="宋体" w:eastAsia="宋体" w:cs="宋体"/>
          <w:color w:val="000000" w:themeColor="text1"/>
          <w:kern w:val="2"/>
          <w:sz w:val="24"/>
          <w:szCs w:val="24"/>
          <w:highlight w:val="none"/>
          <w14:textFill>
            <w14:solidFill>
              <w14:schemeClr w14:val="tx1"/>
            </w14:solidFill>
          </w14:textFill>
        </w:rPr>
        <w:t>，电源电缆单芯截面面积不应小于 2.5mm</w:t>
      </w:r>
      <w:r>
        <w:rPr>
          <w:rFonts w:hint="eastAsia" w:ascii="宋体" w:hAnsi="宋体" w:eastAsia="宋体" w:cs="宋体"/>
          <w:color w:val="000000" w:themeColor="text1"/>
          <w:kern w:val="2"/>
          <w:sz w:val="24"/>
          <w:szCs w:val="24"/>
          <w:highlight w:val="none"/>
          <w:vertAlign w:val="superscript"/>
          <w14:textFill>
            <w14:solidFill>
              <w14:schemeClr w14:val="tx1"/>
            </w14:solidFill>
          </w14:textFill>
        </w:rPr>
        <w:t>2</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475C552A">
      <w:pPr>
        <w:adjustRightInd w:val="0"/>
        <w:snapToGrid w:val="0"/>
        <w:spacing w:line="360" w:lineRule="auto"/>
        <w:ind w:left="425"/>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(2)</w:t>
      </w:r>
      <w:r>
        <w:rPr>
          <w:rFonts w:hint="eastAsia" w:ascii="宋体" w:hAnsi="宋体" w:eastAsia="宋体" w:cs="宋体"/>
          <w:b/>
          <w:color w:val="000000" w:themeColor="text1"/>
          <w:kern w:val="2"/>
          <w:sz w:val="24"/>
          <w:szCs w:val="24"/>
          <w:highlight w:val="none"/>
          <w14:textFill>
            <w14:solidFill>
              <w14:schemeClr w14:val="tx1"/>
            </w14:solidFill>
          </w14:textFill>
        </w:rPr>
        <w:t xml:space="preserve">设备布置 </w:t>
      </w:r>
    </w:p>
    <w:p w14:paraId="5597FDE5">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1)、机柜面板上安装的仪表装置应采用嵌入式安装，所有操作开关、仪表、指示器的布置应便于用户操作和观察，操作开关、仪表、指示器宜布置于距地面以上 1.2m~1.8m 范围内。 </w:t>
      </w:r>
    </w:p>
    <w:p w14:paraId="4FE9A792">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2)、机柜左、右两侧应可设置端子排，端子排顶部应低于屏顶 200mm，底部应高于屏底 500mm。 </w:t>
      </w:r>
    </w:p>
    <w:p w14:paraId="00C9B600">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3)、每面机柜内应提供接地铜排和接地螺栓。 </w:t>
      </w:r>
    </w:p>
    <w:p w14:paraId="441E9E0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4)、每面机柜内应至少配有一个多用电源插座和一个照明灯。 </w:t>
      </w:r>
    </w:p>
    <w:p w14:paraId="1AE56F75">
      <w:pPr>
        <w:adjustRightInd w:val="0"/>
        <w:snapToGrid w:val="0"/>
        <w:spacing w:line="360" w:lineRule="auto"/>
        <w:ind w:left="425"/>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(3</w:t>
      </w:r>
      <w:r>
        <w:rPr>
          <w:rFonts w:hint="eastAsia" w:ascii="宋体" w:hAnsi="宋体" w:eastAsia="宋体" w:cs="宋体"/>
          <w:bCs/>
          <w:color w:val="000000" w:themeColor="text1"/>
          <w:spacing w:val="-2"/>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 xml:space="preserve">内部接线 </w:t>
      </w:r>
    </w:p>
    <w:p w14:paraId="4CF28AB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1)、机柜的内部接线应在工厂完成，接线布局合理、整齐、美观。 </w:t>
      </w:r>
    </w:p>
    <w:p w14:paraId="23174896">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2)、柜内接线应采用耐热、耐潮和阻燃的具有足够强度的绝缘多股软铜导线，导线应无损伤，端头应采用压紧型的连接件。 </w:t>
      </w:r>
    </w:p>
    <w:p w14:paraId="122A0BF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3)、柜内接线应采用防火型线槽保护，外露的部分接线应束在一起并用适当的夹具固定或支撑。导线在线槽中所占用的空间不得超过 70%。 </w:t>
      </w:r>
    </w:p>
    <w:p w14:paraId="774C795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4)、所有连线中间不得有接头，导线在柜内的连接均须经端子排或设备接线点。 </w:t>
      </w:r>
    </w:p>
    <w:p w14:paraId="156B1ED8">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5)、所有柜内连线的两端均应标示出对侧所接元件的编号及接线端的编号。 </w:t>
      </w:r>
    </w:p>
    <w:p w14:paraId="2096E19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6)、机柜及柜内安装的装置都应有标签，以便清楚地识别。 </w:t>
      </w:r>
    </w:p>
    <w:p w14:paraId="34FB891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7)、机柜内部接线应充分考虑电磁干扰影响，电源线和信号线应分开布置。 </w:t>
      </w:r>
    </w:p>
    <w:p w14:paraId="4F6141BA">
      <w:pPr>
        <w:adjustRightInd w:val="0"/>
        <w:snapToGrid w:val="0"/>
        <w:spacing w:line="360" w:lineRule="auto"/>
        <w:ind w:left="425"/>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(4)</w:t>
      </w:r>
      <w:r>
        <w:rPr>
          <w:rFonts w:hint="eastAsia" w:ascii="宋体" w:hAnsi="宋体" w:eastAsia="宋体" w:cs="宋体"/>
          <w:b/>
          <w:color w:val="000000" w:themeColor="text1"/>
          <w:kern w:val="2"/>
          <w:sz w:val="24"/>
          <w:szCs w:val="24"/>
          <w:highlight w:val="none"/>
          <w14:textFill>
            <w14:solidFill>
              <w14:schemeClr w14:val="tx1"/>
            </w14:solidFill>
          </w14:textFill>
        </w:rPr>
        <w:t xml:space="preserve">元器件 </w:t>
      </w:r>
    </w:p>
    <w:p w14:paraId="4DB558F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1)基本要求 </w:t>
      </w:r>
    </w:p>
    <w:p w14:paraId="365E4CC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a所有元器件均应性能可靠，安全稳定，且能满足系统长期运行需求。 </w:t>
      </w:r>
    </w:p>
    <w:p w14:paraId="48778C8F">
      <w:pPr>
        <w:adjustRightInd w:val="0"/>
        <w:snapToGrid w:val="0"/>
        <w:spacing w:line="360" w:lineRule="auto"/>
        <w:ind w:firstLine="480" w:firstLineChars="200"/>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 xml:space="preserve">b所有选用的元器件均应符合 IEC 及国家相应的标准和规范要求。 </w:t>
      </w:r>
    </w:p>
    <w:p w14:paraId="4D4B53F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2)按钮 </w:t>
      </w:r>
    </w:p>
    <w:p w14:paraId="5005C14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a按钮应为工业型按钮，应符合 IEC947-1-3 的要求；选用优质产品。 </w:t>
      </w:r>
    </w:p>
    <w:p w14:paraId="18DCD496">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b电气接点额定值 </w:t>
      </w:r>
    </w:p>
    <w:p w14:paraId="232DC9A8">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最高设计电压：交流 500V 或直流 250V； </w:t>
      </w:r>
    </w:p>
    <w:p w14:paraId="7ED0884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最大持续电流：10A(交流或直流)； </w:t>
      </w:r>
    </w:p>
    <w:p w14:paraId="0F1981C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最大感性开断电流：交流 220V/3A 或直流 220V/1.1A； </w:t>
      </w:r>
    </w:p>
    <w:p w14:paraId="76A00D9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最大感性关合电流：交流 220V/30A 或直流 220V/15A。 </w:t>
      </w:r>
    </w:p>
    <w:p w14:paraId="2815D232">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3)继电器 </w:t>
      </w:r>
    </w:p>
    <w:p w14:paraId="5812517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a继电器元件应是插入式。插入式联接应做成带压力的触头。 </w:t>
      </w:r>
    </w:p>
    <w:p w14:paraId="764B7A3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b继电器接点应有足够的额定容量以满足运行，继电器线圈能持续带规定负荷并具有耐热措施。每个输入输出继电器至少应留有一对备用的常开接点和一对备用的常闭接点。 </w:t>
      </w:r>
    </w:p>
    <w:p w14:paraId="2DCBD512">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c继电器应选用高质量产品，保证触点正常动作次数 ≥ 10 万次。 </w:t>
      </w:r>
    </w:p>
    <w:p w14:paraId="0256FC3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d电气接点额定值 </w:t>
      </w:r>
    </w:p>
    <w:p w14:paraId="125A634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最大设计电压：交流 220V/380V 或直流 220V； </w:t>
      </w:r>
    </w:p>
    <w:p w14:paraId="5B84F58A">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持续工作电流：交流或直流 2A； </w:t>
      </w:r>
    </w:p>
    <w:p w14:paraId="0EC8F72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最大开断电流：交流 220V，1.1A；直流 220V，2A； </w:t>
      </w:r>
    </w:p>
    <w:p w14:paraId="2DC3D71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最大闭合电流：交流或直流 220V，2A。 </w:t>
      </w:r>
    </w:p>
    <w:p w14:paraId="66B65E05">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4)指示灯 </w:t>
      </w:r>
    </w:p>
    <w:p w14:paraId="4984FB1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a指示灯应为开关板型，具有合适的有色灯盖和整体安装的电阻，指示灯的发光元件应采用 LED。 </w:t>
      </w:r>
    </w:p>
    <w:p w14:paraId="4A201032">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b指示灯应便于更换，所有有色灯盖应具有互换性，而且所有的灯应为同一类型和相同额定参数。 </w:t>
      </w:r>
    </w:p>
    <w:p w14:paraId="6619D7C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5)控制、转换和选择开关 </w:t>
      </w:r>
    </w:p>
    <w:p w14:paraId="7207812E">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a控制、转换和选择开关应为工业型；开关板或控制柜盘前安装的手动开关为旋转式、带限位机构。 </w:t>
      </w:r>
    </w:p>
    <w:p w14:paraId="3AE24C3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b电气接点额定值 </w:t>
      </w:r>
    </w:p>
    <w:p w14:paraId="4E7DB3D6">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最高设计电压：交流 500V 或直流 250V； </w:t>
      </w:r>
    </w:p>
    <w:p w14:paraId="2902705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持续工作电流 10A(交流或直流)； </w:t>
      </w:r>
    </w:p>
    <w:p w14:paraId="6B4D39B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最大感性开断电流：交流 220V/3A 或直流 220V/1.1A； </w:t>
      </w:r>
    </w:p>
    <w:p w14:paraId="05558830">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最大感性关合电流：交流 220V/30A 或直流 220V/15A。 </w:t>
      </w:r>
    </w:p>
    <w:p w14:paraId="21B8D6F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6)防雷装置</w:t>
      </w:r>
    </w:p>
    <w:p w14:paraId="324ED066">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优化的脱离装置确保系统安全可靠模块化设计，灵活组成2P,3P或4P；</w:t>
      </w:r>
    </w:p>
    <w:p w14:paraId="2B7E536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最大40KA(8/20us)的电涌电流泄放能力；</w:t>
      </w:r>
    </w:p>
    <w:p w14:paraId="0AFA70D5">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纳秒级的超高响应速度；</w:t>
      </w:r>
    </w:p>
    <w:p w14:paraId="6645FD9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标准的35mm导轨式安装。</w:t>
      </w:r>
    </w:p>
    <w:p w14:paraId="16C8D409">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4.6同步时钟</w:t>
      </w:r>
    </w:p>
    <w:p w14:paraId="17D972A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bookmarkStart w:id="66" w:name="OLE_LINK23"/>
      <w:r>
        <w:rPr>
          <w:rFonts w:hint="eastAsia" w:ascii="宋体" w:hAnsi="宋体" w:eastAsia="宋体" w:cs="宋体"/>
          <w:color w:val="000000" w:themeColor="text1"/>
          <w:kern w:val="2"/>
          <w:sz w:val="24"/>
          <w:szCs w:val="24"/>
          <w:highlight w:val="none"/>
          <w14:textFill>
            <w14:solidFill>
              <w14:schemeClr w14:val="tx1"/>
            </w14:solidFill>
          </w14:textFill>
        </w:rPr>
        <w:t>支持GPS、单北斗、双北斗，采用多同步源自适应同步技术，与外同步时钟信号同步精度高，同步精度优于</w:t>
      </w:r>
      <w:r>
        <w:rPr>
          <w:rFonts w:ascii="宋体" w:hAnsi="宋体" w:eastAsia="宋体" w:cs="宋体"/>
          <w:color w:val="000000" w:themeColor="text1"/>
          <w:kern w:val="2"/>
          <w:sz w:val="24"/>
          <w:szCs w:val="24"/>
          <w:highlight w:val="none"/>
          <w14:textFill>
            <w14:solidFill>
              <w14:schemeClr w14:val="tx1"/>
            </w14:solidFill>
          </w14:textFill>
        </w:rPr>
        <w:t>0.1us</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010B6FF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支持多路时间源输入且装备有高精度守时时钟。</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7C455981">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模块化设计，多种输出接口，使用灵活方便。</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24ECC9C7">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双</w:t>
      </w:r>
      <w:r>
        <w:rPr>
          <w:rFonts w:ascii="宋体" w:hAnsi="宋体" w:eastAsia="宋体" w:cs="宋体"/>
          <w:color w:val="000000" w:themeColor="text1"/>
          <w:kern w:val="2"/>
          <w:sz w:val="24"/>
          <w:szCs w:val="24"/>
          <w:highlight w:val="none"/>
          <w14:textFill>
            <w14:solidFill>
              <w14:schemeClr w14:val="tx1"/>
            </w14:solidFill>
          </w14:textFill>
        </w:rPr>
        <w:t>CPU</w:t>
      </w:r>
      <w:r>
        <w:rPr>
          <w:rFonts w:hint="eastAsia" w:ascii="宋体" w:hAnsi="宋体" w:eastAsia="宋体" w:cs="宋体"/>
          <w:color w:val="000000" w:themeColor="text1"/>
          <w:kern w:val="2"/>
          <w:sz w:val="24"/>
          <w:szCs w:val="24"/>
          <w:highlight w:val="none"/>
          <w14:textFill>
            <w14:solidFill>
              <w14:schemeClr w14:val="tx1"/>
            </w14:solidFill>
          </w14:textFill>
        </w:rPr>
        <w:t>并行处理时间报文输出技术</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3486002A">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高精度脉冲输出</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45433954">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高精度守时时钟，基于</w:t>
      </w:r>
      <w:r>
        <w:rPr>
          <w:rFonts w:ascii="宋体" w:hAnsi="宋体" w:eastAsia="宋体" w:cs="宋体"/>
          <w:color w:val="000000" w:themeColor="text1"/>
          <w:kern w:val="2"/>
          <w:sz w:val="24"/>
          <w:szCs w:val="24"/>
          <w:highlight w:val="none"/>
          <w14:textFill>
            <w14:solidFill>
              <w14:schemeClr w14:val="tx1"/>
            </w14:solidFill>
          </w14:textFill>
        </w:rPr>
        <w:t>FPGA</w:t>
      </w:r>
      <w:r>
        <w:rPr>
          <w:rFonts w:hint="eastAsia" w:ascii="宋体" w:hAnsi="宋体" w:eastAsia="宋体" w:cs="宋体"/>
          <w:color w:val="000000" w:themeColor="text1"/>
          <w:kern w:val="2"/>
          <w:sz w:val="24"/>
          <w:szCs w:val="24"/>
          <w:highlight w:val="none"/>
          <w14:textFill>
            <w14:solidFill>
              <w14:schemeClr w14:val="tx1"/>
            </w14:solidFill>
          </w14:textFill>
        </w:rPr>
        <w:t>技术，采用高精度调频算法和先进驯服技术。</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7C49E30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时间跳变保护功能</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2A42BA3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w:t>
      </w:r>
      <w:r>
        <w:rPr>
          <w:rFonts w:ascii="宋体" w:hAnsi="宋体" w:eastAsia="宋体" w:cs="宋体"/>
          <w:color w:val="000000" w:themeColor="text1"/>
          <w:kern w:val="2"/>
          <w:sz w:val="24"/>
          <w:szCs w:val="24"/>
          <w:highlight w:val="none"/>
          <w14:textFill>
            <w14:solidFill>
              <w14:schemeClr w14:val="tx1"/>
            </w14:solidFill>
          </w14:textFill>
        </w:rPr>
        <w:t>NTP v2</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v3 &amp; v4</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RFC1119&amp; 1305</w:t>
      </w:r>
      <w:r>
        <w:rPr>
          <w:rFonts w:hint="eastAsia" w:ascii="宋体" w:hAnsi="宋体" w:eastAsia="宋体" w:cs="宋体"/>
          <w:color w:val="000000" w:themeColor="text1"/>
          <w:kern w:val="2"/>
          <w:sz w:val="24"/>
          <w:szCs w:val="24"/>
          <w:highlight w:val="none"/>
          <w14:textFill>
            <w14:solidFill>
              <w14:schemeClr w14:val="tx1"/>
            </w14:solidFill>
          </w14:textFill>
        </w:rPr>
        <w:t>）和</w:t>
      </w:r>
      <w:r>
        <w:rPr>
          <w:rFonts w:ascii="宋体" w:hAnsi="宋体" w:eastAsia="宋体" w:cs="宋体"/>
          <w:color w:val="000000" w:themeColor="text1"/>
          <w:kern w:val="2"/>
          <w:sz w:val="24"/>
          <w:szCs w:val="24"/>
          <w:highlight w:val="none"/>
          <w14:textFill>
            <w14:solidFill>
              <w14:schemeClr w14:val="tx1"/>
            </w14:solidFill>
          </w14:textFill>
        </w:rPr>
        <w:t xml:space="preserve">SNTP Simple Network Time Protocol </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RFC2030</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651D2CB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所有信号输出口均经过光电隔离，电磁抗干扰达到</w:t>
      </w:r>
      <w:r>
        <w:rPr>
          <w:rFonts w:ascii="宋体" w:hAnsi="宋体" w:eastAsia="宋体" w:cs="宋体"/>
          <w:color w:val="000000" w:themeColor="text1"/>
          <w:kern w:val="2"/>
          <w:sz w:val="24"/>
          <w:szCs w:val="24"/>
          <w:highlight w:val="none"/>
          <w14:textFill>
            <w14:solidFill>
              <w14:schemeClr w14:val="tx1"/>
            </w14:solidFill>
          </w14:textFill>
        </w:rPr>
        <w:t>IV</w:t>
      </w:r>
      <w:r>
        <w:rPr>
          <w:rFonts w:hint="eastAsia" w:ascii="宋体" w:hAnsi="宋体" w:eastAsia="宋体" w:cs="宋体"/>
          <w:color w:val="000000" w:themeColor="text1"/>
          <w:kern w:val="2"/>
          <w:sz w:val="24"/>
          <w:szCs w:val="24"/>
          <w:highlight w:val="none"/>
          <w14:textFill>
            <w14:solidFill>
              <w14:schemeClr w14:val="tx1"/>
            </w14:solidFill>
          </w14:textFill>
        </w:rPr>
        <w:t>级标准。</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2BCBED4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有监视本装置运行状态的告警接点输出，包括电源消失告警和装置故障告警。</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4E0A71C9">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装置运行状态可通过</w:t>
      </w:r>
      <w:r>
        <w:rPr>
          <w:rFonts w:ascii="宋体" w:hAnsi="宋体" w:eastAsia="宋体" w:cs="宋体"/>
          <w:color w:val="000000" w:themeColor="text1"/>
          <w:kern w:val="2"/>
          <w:sz w:val="24"/>
          <w:szCs w:val="24"/>
          <w:highlight w:val="none"/>
          <w14:textFill>
            <w14:solidFill>
              <w14:schemeClr w14:val="tx1"/>
            </w14:solidFill>
          </w14:textFill>
        </w:rPr>
        <w:t>DL/T 634.5104</w:t>
      </w:r>
      <w:r>
        <w:rPr>
          <w:rFonts w:hint="eastAsia" w:ascii="宋体" w:hAnsi="宋体" w:eastAsia="宋体" w:cs="宋体"/>
          <w:color w:val="000000" w:themeColor="text1"/>
          <w:kern w:val="2"/>
          <w:sz w:val="24"/>
          <w:szCs w:val="24"/>
          <w:highlight w:val="none"/>
          <w14:textFill>
            <w14:solidFill>
              <w14:schemeClr w14:val="tx1"/>
            </w14:solidFill>
          </w14:textFill>
        </w:rPr>
        <w:t>规约上传到调度中心。</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19EF17EA">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w:t>
      </w:r>
      <w:r>
        <w:rPr>
          <w:rFonts w:ascii="宋体" w:hAnsi="宋体" w:eastAsia="宋体" w:cs="宋体"/>
          <w:color w:val="000000" w:themeColor="text1"/>
          <w:kern w:val="2"/>
          <w:sz w:val="24"/>
          <w:szCs w:val="24"/>
          <w:highlight w:val="none"/>
          <w14:textFill>
            <w14:solidFill>
              <w14:schemeClr w14:val="tx1"/>
            </w14:solidFill>
          </w14:textFill>
        </w:rPr>
        <w:t>PTP</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IEEE Std 1588-2008 V2.0</w:t>
      </w:r>
      <w:r>
        <w:rPr>
          <w:rFonts w:hint="eastAsia" w:ascii="宋体" w:hAnsi="宋体" w:eastAsia="宋体" w:cs="宋体"/>
          <w:color w:val="000000" w:themeColor="text1"/>
          <w:kern w:val="2"/>
          <w:sz w:val="24"/>
          <w:szCs w:val="24"/>
          <w:highlight w:val="none"/>
          <w14:textFill>
            <w14:solidFill>
              <w14:schemeClr w14:val="tx1"/>
            </w14:solidFill>
          </w14:textFill>
        </w:rPr>
        <w:t>）精密时间同步协议。</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39352A35">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支持电网频率测量。</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1084275D">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支持输入时延补偿。</w:t>
      </w:r>
      <w:r>
        <w:rPr>
          <w:rFonts w:ascii="宋体" w:hAnsi="宋体" w:eastAsia="宋体" w:cs="宋体"/>
          <w:color w:val="000000" w:themeColor="text1"/>
          <w:kern w:val="2"/>
          <w:sz w:val="24"/>
          <w:szCs w:val="24"/>
          <w:highlight w:val="none"/>
          <w14:textFill>
            <w14:solidFill>
              <w14:schemeClr w14:val="tx1"/>
            </w14:solidFill>
          </w14:textFill>
        </w:rPr>
        <w:t xml:space="preserve"> </w:t>
      </w:r>
    </w:p>
    <w:p w14:paraId="2F06C632">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支持日志存储。</w:t>
      </w:r>
    </w:p>
    <w:p w14:paraId="61DAAB9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GPS+北斗双对时，</w:t>
      </w:r>
      <w:bookmarkStart w:id="67" w:name="OLE_LINK12"/>
      <w:r>
        <w:rPr>
          <w:rFonts w:hint="eastAsia" w:ascii="宋体" w:hAnsi="宋体" w:eastAsia="宋体" w:cs="宋体"/>
          <w:color w:val="000000" w:themeColor="text1"/>
          <w:kern w:val="2"/>
          <w:sz w:val="24"/>
          <w:szCs w:val="24"/>
          <w:highlight w:val="none"/>
          <w14:textFill>
            <w14:solidFill>
              <w14:schemeClr w14:val="tx1"/>
            </w14:solidFill>
          </w14:textFill>
        </w:rPr>
        <w:t>不低于15路B码对时，不低于2路网络对时，天线长度≥50米。</w:t>
      </w:r>
      <w:bookmarkEnd w:id="66"/>
      <w:bookmarkEnd w:id="67"/>
      <w:bookmarkStart w:id="68" w:name="_Hlk212721998"/>
    </w:p>
    <w:p w14:paraId="3F5DDCB4">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4.7直流屏</w:t>
      </w:r>
    </w:p>
    <w:p w14:paraId="3F9F37C1">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bookmarkStart w:id="69" w:name="OLE_LINK13"/>
      <w:r>
        <w:rPr>
          <w:rFonts w:hint="eastAsia" w:asciiTheme="minorEastAsia" w:hAnsiTheme="minorEastAsia"/>
          <w:b/>
          <w:color w:val="000000" w:themeColor="text1"/>
          <w:sz w:val="24"/>
          <w:highlight w:val="none"/>
          <w14:textFill>
            <w14:solidFill>
              <w14:schemeClr w14:val="tx1"/>
            </w14:solidFill>
          </w14:textFill>
        </w:rPr>
        <w:t>（1）220V充电装置</w:t>
      </w:r>
    </w:p>
    <w:bookmarkEnd w:id="69"/>
    <w:p w14:paraId="68CB528C">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bookmarkStart w:id="70" w:name="OLE_LINK14"/>
      <w:r>
        <w:rPr>
          <w:rFonts w:asciiTheme="minorEastAsia" w:hAnsiTheme="minorEastAsia"/>
          <w:color w:val="000000" w:themeColor="text1"/>
          <w:sz w:val="24"/>
          <w:highlight w:val="none"/>
          <w14:textFill>
            <w14:solidFill>
              <w14:schemeClr w14:val="tx1"/>
            </w14:solidFill>
          </w14:textFill>
        </w:rPr>
        <w:t>高频整流模块先进的LLC谐振软开关技术，效率高；采用无源PFC技术，功率因数高；内置完善的EMC设计</w:t>
      </w:r>
      <w:bookmarkEnd w:id="70"/>
      <w:r>
        <w:rPr>
          <w:rFonts w:asciiTheme="minorEastAsia" w:hAnsiTheme="minorEastAsia"/>
          <w:color w:val="000000" w:themeColor="text1"/>
          <w:sz w:val="24"/>
          <w:highlight w:val="none"/>
          <w14:textFill>
            <w14:solidFill>
              <w14:schemeClr w14:val="tx1"/>
            </w14:solidFill>
          </w14:textFill>
        </w:rPr>
        <w:t>，满足GB/T 19826-2005标准中EMC相关要求；散热风扇采用温度联合电流控制模式，噪音低， 风扇寿命长。</w:t>
      </w:r>
    </w:p>
    <w:tbl>
      <w:tblPr>
        <w:tblStyle w:val="51"/>
        <w:tblW w:w="8740" w:type="dxa"/>
        <w:jc w:val="center"/>
        <w:tblLayout w:type="autofit"/>
        <w:tblCellMar>
          <w:top w:w="0" w:type="dxa"/>
          <w:left w:w="108" w:type="dxa"/>
          <w:bottom w:w="0" w:type="dxa"/>
          <w:right w:w="108" w:type="dxa"/>
        </w:tblCellMar>
      </w:tblPr>
      <w:tblGrid>
        <w:gridCol w:w="1900"/>
        <w:gridCol w:w="4380"/>
        <w:gridCol w:w="2460"/>
      </w:tblGrid>
      <w:tr w14:paraId="6EF5D691">
        <w:tblPrEx>
          <w:tblCellMar>
            <w:top w:w="0" w:type="dxa"/>
            <w:left w:w="108" w:type="dxa"/>
            <w:bottom w:w="0" w:type="dxa"/>
            <w:right w:w="108" w:type="dxa"/>
          </w:tblCellMar>
        </w:tblPrEx>
        <w:trPr>
          <w:trHeight w:val="300" w:hRule="atLeast"/>
          <w:jc w:val="center"/>
        </w:trPr>
        <w:tc>
          <w:tcPr>
            <w:tcW w:w="1900" w:type="dxa"/>
            <w:tcBorders>
              <w:top w:val="single" w:color="auto" w:sz="4" w:space="0"/>
              <w:left w:val="single" w:color="auto" w:sz="4" w:space="0"/>
              <w:bottom w:val="single" w:color="auto" w:sz="4" w:space="0"/>
              <w:right w:val="single" w:color="auto" w:sz="4" w:space="0"/>
            </w:tcBorders>
            <w:vAlign w:val="center"/>
          </w:tcPr>
          <w:p w14:paraId="62190237">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项目</w:t>
            </w:r>
          </w:p>
        </w:tc>
        <w:tc>
          <w:tcPr>
            <w:tcW w:w="4380" w:type="dxa"/>
            <w:tcBorders>
              <w:top w:val="single" w:color="auto" w:sz="4" w:space="0"/>
              <w:left w:val="nil"/>
              <w:bottom w:val="single" w:color="auto" w:sz="4" w:space="0"/>
              <w:right w:val="single" w:color="auto" w:sz="4" w:space="0"/>
            </w:tcBorders>
            <w:vAlign w:val="center"/>
          </w:tcPr>
          <w:p w14:paraId="32AF70E7">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参数指标</w:t>
            </w:r>
          </w:p>
        </w:tc>
        <w:tc>
          <w:tcPr>
            <w:tcW w:w="2460" w:type="dxa"/>
            <w:tcBorders>
              <w:top w:val="single" w:color="auto" w:sz="4" w:space="0"/>
              <w:left w:val="nil"/>
              <w:bottom w:val="single" w:color="auto" w:sz="4" w:space="0"/>
              <w:right w:val="single" w:color="auto" w:sz="4" w:space="0"/>
            </w:tcBorders>
            <w:vAlign w:val="center"/>
          </w:tcPr>
          <w:p w14:paraId="33C8E58C">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备</w:t>
            </w:r>
            <w:r>
              <w:rPr>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注</w:t>
            </w:r>
          </w:p>
        </w:tc>
      </w:tr>
      <w:tr w14:paraId="525E4A63">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33E77457">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输入电压</w:t>
            </w:r>
          </w:p>
        </w:tc>
        <w:tc>
          <w:tcPr>
            <w:tcW w:w="4380" w:type="dxa"/>
            <w:tcBorders>
              <w:top w:val="nil"/>
              <w:left w:val="nil"/>
              <w:bottom w:val="single" w:color="auto" w:sz="4" w:space="0"/>
              <w:right w:val="single" w:color="auto" w:sz="4" w:space="0"/>
            </w:tcBorders>
            <w:vAlign w:val="center"/>
          </w:tcPr>
          <w:p w14:paraId="0D53FD6A">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380VAC</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w:t>
            </w:r>
          </w:p>
        </w:tc>
        <w:tc>
          <w:tcPr>
            <w:tcW w:w="2460" w:type="dxa"/>
            <w:tcBorders>
              <w:top w:val="nil"/>
              <w:left w:val="nil"/>
              <w:bottom w:val="single" w:color="auto" w:sz="4" w:space="0"/>
              <w:right w:val="single" w:color="auto" w:sz="4" w:space="0"/>
            </w:tcBorders>
            <w:vAlign w:val="center"/>
          </w:tcPr>
          <w:p w14:paraId="5862EF8B">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范围限功率</w:t>
            </w:r>
          </w:p>
        </w:tc>
      </w:tr>
      <w:tr w14:paraId="23B05547">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6D07398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输出额定值</w:t>
            </w:r>
          </w:p>
        </w:tc>
        <w:tc>
          <w:tcPr>
            <w:tcW w:w="4380" w:type="dxa"/>
            <w:tcBorders>
              <w:top w:val="nil"/>
              <w:left w:val="nil"/>
              <w:bottom w:val="single" w:color="auto" w:sz="4" w:space="0"/>
              <w:right w:val="single" w:color="auto" w:sz="4" w:space="0"/>
            </w:tcBorders>
            <w:vAlign w:val="center"/>
          </w:tcPr>
          <w:p w14:paraId="7F33BE92">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20A/230V</w:t>
            </w:r>
          </w:p>
        </w:tc>
        <w:tc>
          <w:tcPr>
            <w:tcW w:w="2460" w:type="dxa"/>
            <w:tcBorders>
              <w:top w:val="nil"/>
              <w:left w:val="nil"/>
              <w:bottom w:val="single" w:color="auto" w:sz="4" w:space="0"/>
              <w:right w:val="single" w:color="auto" w:sz="4" w:space="0"/>
            </w:tcBorders>
            <w:vAlign w:val="center"/>
          </w:tcPr>
          <w:p w14:paraId="39EAD33F">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45281AB6">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79599BA9">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电压调节范围</w:t>
            </w:r>
          </w:p>
        </w:tc>
        <w:tc>
          <w:tcPr>
            <w:tcW w:w="4380" w:type="dxa"/>
            <w:tcBorders>
              <w:top w:val="nil"/>
              <w:left w:val="nil"/>
              <w:bottom w:val="single" w:color="auto" w:sz="4" w:space="0"/>
              <w:right w:val="single" w:color="auto" w:sz="4" w:space="0"/>
            </w:tcBorders>
            <w:vAlign w:val="center"/>
          </w:tcPr>
          <w:p w14:paraId="5501F4F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198</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286V</w:t>
            </w:r>
          </w:p>
        </w:tc>
        <w:tc>
          <w:tcPr>
            <w:tcW w:w="2460" w:type="dxa"/>
            <w:tcBorders>
              <w:top w:val="nil"/>
              <w:left w:val="nil"/>
              <w:bottom w:val="single" w:color="auto" w:sz="4" w:space="0"/>
              <w:right w:val="single" w:color="auto" w:sz="4" w:space="0"/>
            </w:tcBorders>
            <w:vAlign w:val="center"/>
          </w:tcPr>
          <w:p w14:paraId="52898B56">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1D9A5442">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28A2316A">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输出限流范围</w:t>
            </w:r>
          </w:p>
        </w:tc>
        <w:tc>
          <w:tcPr>
            <w:tcW w:w="4380" w:type="dxa"/>
            <w:tcBorders>
              <w:top w:val="nil"/>
              <w:left w:val="nil"/>
              <w:bottom w:val="single" w:color="auto" w:sz="4" w:space="0"/>
              <w:right w:val="single" w:color="auto" w:sz="4" w:space="0"/>
            </w:tcBorders>
            <w:vAlign w:val="center"/>
          </w:tcPr>
          <w:p w14:paraId="2DD0188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105%</w:t>
            </w:r>
            <w:r>
              <w:rPr>
                <w:rFonts w:hint="eastAsia" w:ascii="宋体" w:hAnsi="宋体"/>
                <w:color w:val="000000" w:themeColor="text1"/>
                <w:szCs w:val="21"/>
                <w:highlight w:val="none"/>
                <w14:textFill>
                  <w14:solidFill>
                    <w14:schemeClr w14:val="tx1"/>
                  </w14:solidFill>
                </w14:textFill>
              </w:rPr>
              <w:t>额定电流</w:t>
            </w:r>
          </w:p>
        </w:tc>
        <w:tc>
          <w:tcPr>
            <w:tcW w:w="2460" w:type="dxa"/>
            <w:tcBorders>
              <w:top w:val="nil"/>
              <w:left w:val="nil"/>
              <w:bottom w:val="single" w:color="auto" w:sz="4" w:space="0"/>
              <w:right w:val="single" w:color="auto" w:sz="4" w:space="0"/>
            </w:tcBorders>
            <w:vAlign w:val="center"/>
          </w:tcPr>
          <w:p w14:paraId="6412D49C">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105%</w:t>
            </w:r>
            <w:r>
              <w:rPr>
                <w:rFonts w:hint="eastAsia" w:ascii="宋体" w:hAnsi="宋体"/>
                <w:color w:val="000000" w:themeColor="text1"/>
                <w:szCs w:val="21"/>
                <w:highlight w:val="none"/>
                <w14:textFill>
                  <w14:solidFill>
                    <w14:schemeClr w14:val="tx1"/>
                  </w14:solidFill>
                </w14:textFill>
              </w:rPr>
              <w:t>最大限流点</w:t>
            </w:r>
          </w:p>
        </w:tc>
      </w:tr>
      <w:tr w14:paraId="3ABFA36E">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557E61FA">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稳压精度</w:t>
            </w:r>
          </w:p>
        </w:tc>
        <w:tc>
          <w:tcPr>
            <w:tcW w:w="4380" w:type="dxa"/>
            <w:tcBorders>
              <w:top w:val="nil"/>
              <w:left w:val="nil"/>
              <w:bottom w:val="single" w:color="auto" w:sz="4" w:space="0"/>
              <w:right w:val="single" w:color="auto" w:sz="4" w:space="0"/>
            </w:tcBorders>
            <w:vAlign w:val="center"/>
          </w:tcPr>
          <w:p w14:paraId="0E2AE4EB">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w:t>
            </w:r>
          </w:p>
        </w:tc>
        <w:tc>
          <w:tcPr>
            <w:tcW w:w="2460" w:type="dxa"/>
            <w:tcBorders>
              <w:top w:val="nil"/>
              <w:left w:val="nil"/>
              <w:bottom w:val="single" w:color="auto" w:sz="4" w:space="0"/>
              <w:right w:val="single" w:color="auto" w:sz="4" w:space="0"/>
            </w:tcBorders>
            <w:vAlign w:val="center"/>
          </w:tcPr>
          <w:p w14:paraId="1DE7182E">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2EB35EAF">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3D1925C4">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稳流精度</w:t>
            </w:r>
          </w:p>
        </w:tc>
        <w:tc>
          <w:tcPr>
            <w:tcW w:w="4380" w:type="dxa"/>
            <w:tcBorders>
              <w:top w:val="nil"/>
              <w:left w:val="nil"/>
              <w:bottom w:val="single" w:color="auto" w:sz="4" w:space="0"/>
              <w:right w:val="single" w:color="auto" w:sz="4" w:space="0"/>
            </w:tcBorders>
            <w:vAlign w:val="center"/>
          </w:tcPr>
          <w:p w14:paraId="50BA5DA0">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w:t>
            </w:r>
          </w:p>
        </w:tc>
        <w:tc>
          <w:tcPr>
            <w:tcW w:w="2460" w:type="dxa"/>
            <w:tcBorders>
              <w:top w:val="nil"/>
              <w:left w:val="nil"/>
              <w:bottom w:val="single" w:color="auto" w:sz="4" w:space="0"/>
              <w:right w:val="single" w:color="auto" w:sz="4" w:space="0"/>
            </w:tcBorders>
            <w:vAlign w:val="center"/>
          </w:tcPr>
          <w:p w14:paraId="25898BC1">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5D7E44FC">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7804EF81">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纹波系数</w:t>
            </w:r>
          </w:p>
        </w:tc>
        <w:tc>
          <w:tcPr>
            <w:tcW w:w="4380" w:type="dxa"/>
            <w:tcBorders>
              <w:top w:val="nil"/>
              <w:left w:val="nil"/>
              <w:bottom w:val="single" w:color="auto" w:sz="4" w:space="0"/>
              <w:right w:val="single" w:color="auto" w:sz="4" w:space="0"/>
            </w:tcBorders>
            <w:vAlign w:val="center"/>
          </w:tcPr>
          <w:p w14:paraId="0088C084">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w:t>
            </w:r>
          </w:p>
        </w:tc>
        <w:tc>
          <w:tcPr>
            <w:tcW w:w="2460" w:type="dxa"/>
            <w:tcBorders>
              <w:top w:val="nil"/>
              <w:left w:val="nil"/>
              <w:bottom w:val="single" w:color="auto" w:sz="4" w:space="0"/>
              <w:right w:val="single" w:color="auto" w:sz="4" w:space="0"/>
            </w:tcBorders>
            <w:vAlign w:val="center"/>
          </w:tcPr>
          <w:p w14:paraId="5DD57AF5">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01CBA7D9">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40C56BD8">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功率因数</w:t>
            </w:r>
          </w:p>
        </w:tc>
        <w:tc>
          <w:tcPr>
            <w:tcW w:w="4380" w:type="dxa"/>
            <w:tcBorders>
              <w:top w:val="nil"/>
              <w:left w:val="nil"/>
              <w:bottom w:val="single" w:color="auto" w:sz="4" w:space="0"/>
              <w:right w:val="single" w:color="auto" w:sz="4" w:space="0"/>
            </w:tcBorders>
            <w:vAlign w:val="center"/>
          </w:tcPr>
          <w:p w14:paraId="5A59096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≥0.9</w:t>
            </w:r>
          </w:p>
        </w:tc>
        <w:tc>
          <w:tcPr>
            <w:tcW w:w="2460" w:type="dxa"/>
            <w:vMerge w:val="restart"/>
            <w:tcBorders>
              <w:top w:val="nil"/>
              <w:left w:val="single" w:color="auto" w:sz="4" w:space="0"/>
              <w:bottom w:val="single" w:color="auto" w:sz="4" w:space="0"/>
              <w:right w:val="single" w:color="auto" w:sz="4" w:space="0"/>
            </w:tcBorders>
            <w:vAlign w:val="center"/>
          </w:tcPr>
          <w:p w14:paraId="62F21B58">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额定输入、额定输出</w:t>
            </w:r>
          </w:p>
        </w:tc>
      </w:tr>
      <w:tr w14:paraId="5EB08D3E">
        <w:tblPrEx>
          <w:tblCellMar>
            <w:top w:w="0" w:type="dxa"/>
            <w:left w:w="108" w:type="dxa"/>
            <w:bottom w:w="0" w:type="dxa"/>
            <w:right w:w="108" w:type="dxa"/>
          </w:tblCellMar>
        </w:tblPrEx>
        <w:trPr>
          <w:trHeight w:val="300" w:hRule="atLeast"/>
          <w:jc w:val="center"/>
        </w:trPr>
        <w:tc>
          <w:tcPr>
            <w:tcW w:w="1900" w:type="dxa"/>
            <w:tcBorders>
              <w:top w:val="single" w:color="auto" w:sz="4" w:space="0"/>
              <w:left w:val="single" w:color="auto" w:sz="4" w:space="0"/>
              <w:bottom w:val="single" w:color="auto" w:sz="4" w:space="0"/>
              <w:right w:val="single" w:color="auto" w:sz="4" w:space="0"/>
            </w:tcBorders>
            <w:vAlign w:val="center"/>
          </w:tcPr>
          <w:p w14:paraId="3E6C5AF2">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转换效率</w:t>
            </w:r>
          </w:p>
        </w:tc>
        <w:tc>
          <w:tcPr>
            <w:tcW w:w="4380" w:type="dxa"/>
            <w:tcBorders>
              <w:top w:val="single" w:color="auto" w:sz="4" w:space="0"/>
              <w:left w:val="nil"/>
              <w:bottom w:val="single" w:color="auto" w:sz="4" w:space="0"/>
              <w:right w:val="single" w:color="auto" w:sz="4" w:space="0"/>
            </w:tcBorders>
            <w:vAlign w:val="center"/>
          </w:tcPr>
          <w:p w14:paraId="59025479">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≥94%</w:t>
            </w:r>
          </w:p>
        </w:tc>
        <w:tc>
          <w:tcPr>
            <w:tcW w:w="2460" w:type="dxa"/>
            <w:vMerge w:val="continue"/>
            <w:tcBorders>
              <w:top w:val="single" w:color="auto" w:sz="4" w:space="0"/>
              <w:left w:val="single" w:color="auto" w:sz="4" w:space="0"/>
              <w:bottom w:val="single" w:color="auto" w:sz="4" w:space="0"/>
              <w:right w:val="single" w:color="auto" w:sz="4" w:space="0"/>
            </w:tcBorders>
            <w:vAlign w:val="center"/>
          </w:tcPr>
          <w:p w14:paraId="5797AFD9">
            <w:pPr>
              <w:widowControl/>
              <w:jc w:val="left"/>
              <w:rPr>
                <w:rFonts w:ascii="宋体" w:hAnsi="宋体" w:cs="宋体"/>
                <w:color w:val="000000" w:themeColor="text1"/>
                <w:szCs w:val="21"/>
                <w:highlight w:val="none"/>
                <w14:textFill>
                  <w14:solidFill>
                    <w14:schemeClr w14:val="tx1"/>
                  </w14:solidFill>
                </w14:textFill>
              </w:rPr>
            </w:pPr>
          </w:p>
        </w:tc>
      </w:tr>
      <w:tr w14:paraId="686A7E38">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230AF175">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输出短路回缩</w:t>
            </w:r>
          </w:p>
        </w:tc>
        <w:tc>
          <w:tcPr>
            <w:tcW w:w="4380" w:type="dxa"/>
            <w:tcBorders>
              <w:top w:val="nil"/>
              <w:left w:val="nil"/>
              <w:bottom w:val="single" w:color="auto" w:sz="4" w:space="0"/>
              <w:right w:val="single" w:color="auto" w:sz="4" w:space="0"/>
            </w:tcBorders>
            <w:vAlign w:val="center"/>
          </w:tcPr>
          <w:p w14:paraId="5EF1D295">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回缩电流</w:t>
            </w:r>
            <w:r>
              <w:rPr>
                <w:color w:val="000000" w:themeColor="text1"/>
                <w:szCs w:val="21"/>
                <w:highlight w:val="none"/>
                <w14:textFill>
                  <w14:solidFill>
                    <w14:schemeClr w14:val="tx1"/>
                  </w14:solidFill>
                </w14:textFill>
              </w:rPr>
              <w:t>≤40%</w:t>
            </w:r>
            <w:r>
              <w:rPr>
                <w:rFonts w:hint="eastAsia" w:ascii="宋体" w:hAnsi="宋体" w:cs="宋体"/>
                <w:color w:val="000000" w:themeColor="text1"/>
                <w:szCs w:val="21"/>
                <w:highlight w:val="none"/>
                <w14:textFill>
                  <w14:solidFill>
                    <w14:schemeClr w14:val="tx1"/>
                  </w14:solidFill>
                </w14:textFill>
              </w:rPr>
              <w:t>额定电流，可恢复</w:t>
            </w:r>
          </w:p>
        </w:tc>
        <w:tc>
          <w:tcPr>
            <w:tcW w:w="2460" w:type="dxa"/>
            <w:tcBorders>
              <w:top w:val="nil"/>
              <w:left w:val="nil"/>
              <w:bottom w:val="single" w:color="auto" w:sz="4" w:space="0"/>
              <w:right w:val="single" w:color="auto" w:sz="4" w:space="0"/>
            </w:tcBorders>
            <w:vAlign w:val="center"/>
          </w:tcPr>
          <w:p w14:paraId="2E9914DC">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3C362338">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3E8C8CDD">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输出过压保护</w:t>
            </w:r>
          </w:p>
        </w:tc>
        <w:tc>
          <w:tcPr>
            <w:tcW w:w="4380" w:type="dxa"/>
            <w:tcBorders>
              <w:top w:val="nil"/>
              <w:left w:val="nil"/>
              <w:bottom w:val="single" w:color="auto" w:sz="4" w:space="0"/>
              <w:right w:val="single" w:color="auto" w:sz="4" w:space="0"/>
            </w:tcBorders>
            <w:vAlign w:val="center"/>
          </w:tcPr>
          <w:p w14:paraId="2EEC5996">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300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5VDC</w:t>
            </w:r>
            <w:r>
              <w:rPr>
                <w:rFonts w:hint="eastAsia" w:ascii="宋体" w:hAnsi="宋体"/>
                <w:color w:val="000000" w:themeColor="text1"/>
                <w:szCs w:val="21"/>
                <w:highlight w:val="none"/>
                <w14:textFill>
                  <w14:solidFill>
                    <w14:schemeClr w14:val="tx1"/>
                  </w14:solidFill>
                </w14:textFill>
              </w:rPr>
              <w:t>，不可恢复</w:t>
            </w:r>
          </w:p>
        </w:tc>
        <w:tc>
          <w:tcPr>
            <w:tcW w:w="2460" w:type="dxa"/>
            <w:tcBorders>
              <w:top w:val="nil"/>
              <w:left w:val="nil"/>
              <w:bottom w:val="single" w:color="auto" w:sz="4" w:space="0"/>
              <w:right w:val="single" w:color="auto" w:sz="4" w:space="0"/>
            </w:tcBorders>
            <w:vAlign w:val="center"/>
          </w:tcPr>
          <w:p w14:paraId="0B5AF43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需手动恢复</w:t>
            </w:r>
          </w:p>
        </w:tc>
      </w:tr>
      <w:tr w14:paraId="3E66952C">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28FF02E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欠压限功率</w:t>
            </w:r>
          </w:p>
        </w:tc>
        <w:tc>
          <w:tcPr>
            <w:tcW w:w="4380" w:type="dxa"/>
            <w:tcBorders>
              <w:top w:val="nil"/>
              <w:left w:val="nil"/>
              <w:bottom w:val="single" w:color="auto" w:sz="4" w:space="0"/>
              <w:right w:val="single" w:color="auto" w:sz="4" w:space="0"/>
            </w:tcBorders>
            <w:vAlign w:val="center"/>
          </w:tcPr>
          <w:p w14:paraId="4A6C617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320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5VAC</w:t>
            </w:r>
            <w:r>
              <w:rPr>
                <w:rFonts w:hint="eastAsia" w:ascii="宋体" w:hAnsi="宋体"/>
                <w:color w:val="000000" w:themeColor="text1"/>
                <w:szCs w:val="21"/>
                <w:highlight w:val="none"/>
                <w14:textFill>
                  <w14:solidFill>
                    <w14:schemeClr w14:val="tx1"/>
                  </w14:solidFill>
                </w14:textFill>
              </w:rPr>
              <w:t>（恢复电压</w:t>
            </w:r>
            <w:r>
              <w:rPr>
                <w:color w:val="000000" w:themeColor="text1"/>
                <w:szCs w:val="21"/>
                <w:highlight w:val="none"/>
                <w14:textFill>
                  <w14:solidFill>
                    <w14:schemeClr w14:val="tx1"/>
                  </w14:solidFill>
                </w14:textFill>
              </w:rPr>
              <w:t>325</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5VAC</w:t>
            </w:r>
            <w:r>
              <w:rPr>
                <w:rFonts w:hint="eastAsia" w:ascii="宋体" w:hAnsi="宋体"/>
                <w:color w:val="000000" w:themeColor="text1"/>
                <w:szCs w:val="21"/>
                <w:highlight w:val="none"/>
                <w14:textFill>
                  <w14:solidFill>
                    <w14:schemeClr w14:val="tx1"/>
                  </w14:solidFill>
                </w14:textFill>
              </w:rPr>
              <w:t>）</w:t>
            </w:r>
          </w:p>
        </w:tc>
        <w:tc>
          <w:tcPr>
            <w:tcW w:w="2460" w:type="dxa"/>
            <w:tcBorders>
              <w:top w:val="nil"/>
              <w:left w:val="nil"/>
              <w:bottom w:val="single" w:color="auto" w:sz="4" w:space="0"/>
              <w:right w:val="single" w:color="auto" w:sz="4" w:space="0"/>
            </w:tcBorders>
            <w:vAlign w:val="center"/>
          </w:tcPr>
          <w:p w14:paraId="06D5C143">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半载输出</w:t>
            </w:r>
          </w:p>
        </w:tc>
      </w:tr>
      <w:tr w14:paraId="1A23858D">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434CD0E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输入欠压保护</w:t>
            </w:r>
          </w:p>
        </w:tc>
        <w:tc>
          <w:tcPr>
            <w:tcW w:w="4380" w:type="dxa"/>
            <w:tcBorders>
              <w:top w:val="nil"/>
              <w:left w:val="nil"/>
              <w:bottom w:val="single" w:color="auto" w:sz="4" w:space="0"/>
              <w:right w:val="single" w:color="auto" w:sz="4" w:space="0"/>
            </w:tcBorders>
            <w:vAlign w:val="center"/>
          </w:tcPr>
          <w:p w14:paraId="7371EE3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295</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10VAC</w:t>
            </w:r>
            <w:r>
              <w:rPr>
                <w:rFonts w:hint="eastAsia" w:ascii="宋体" w:hAnsi="宋体"/>
                <w:color w:val="000000" w:themeColor="text1"/>
                <w:szCs w:val="21"/>
                <w:highlight w:val="none"/>
                <w14:textFill>
                  <w14:solidFill>
                    <w14:schemeClr w14:val="tx1"/>
                  </w14:solidFill>
                </w14:textFill>
              </w:rPr>
              <w:t>（恢复电压</w:t>
            </w:r>
            <w:r>
              <w:rPr>
                <w:color w:val="000000" w:themeColor="text1"/>
                <w:szCs w:val="21"/>
                <w:highlight w:val="none"/>
                <w14:textFill>
                  <w14:solidFill>
                    <w14:schemeClr w14:val="tx1"/>
                  </w14:solidFill>
                </w14:textFill>
              </w:rPr>
              <w:t>305</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10VAC</w:t>
            </w:r>
            <w:r>
              <w:rPr>
                <w:rFonts w:hint="eastAsia" w:ascii="宋体" w:hAnsi="宋体"/>
                <w:color w:val="000000" w:themeColor="text1"/>
                <w:szCs w:val="21"/>
                <w:highlight w:val="none"/>
                <w14:textFill>
                  <w14:solidFill>
                    <w14:schemeClr w14:val="tx1"/>
                  </w14:solidFill>
                </w14:textFill>
              </w:rPr>
              <w:t>）</w:t>
            </w:r>
          </w:p>
        </w:tc>
        <w:tc>
          <w:tcPr>
            <w:tcW w:w="2460" w:type="dxa"/>
            <w:tcBorders>
              <w:top w:val="nil"/>
              <w:left w:val="nil"/>
              <w:bottom w:val="single" w:color="auto" w:sz="4" w:space="0"/>
              <w:right w:val="single" w:color="auto" w:sz="4" w:space="0"/>
            </w:tcBorders>
            <w:vAlign w:val="center"/>
          </w:tcPr>
          <w:p w14:paraId="5A6223F2">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交流电压正常后，</w:t>
            </w:r>
          </w:p>
        </w:tc>
      </w:tr>
      <w:tr w14:paraId="15090A5B">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49531E53">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输入过压保护</w:t>
            </w:r>
          </w:p>
        </w:tc>
        <w:tc>
          <w:tcPr>
            <w:tcW w:w="4380" w:type="dxa"/>
            <w:tcBorders>
              <w:top w:val="nil"/>
              <w:left w:val="nil"/>
              <w:bottom w:val="single" w:color="auto" w:sz="4" w:space="0"/>
              <w:right w:val="single" w:color="auto" w:sz="4" w:space="0"/>
            </w:tcBorders>
            <w:vAlign w:val="center"/>
          </w:tcPr>
          <w:p w14:paraId="2700352F">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465</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10VAC</w:t>
            </w:r>
            <w:r>
              <w:rPr>
                <w:rFonts w:hint="eastAsia" w:ascii="宋体" w:hAnsi="宋体"/>
                <w:color w:val="000000" w:themeColor="text1"/>
                <w:szCs w:val="21"/>
                <w:highlight w:val="none"/>
                <w14:textFill>
                  <w14:solidFill>
                    <w14:schemeClr w14:val="tx1"/>
                  </w14:solidFill>
                </w14:textFill>
              </w:rPr>
              <w:t>（恢复电压</w:t>
            </w:r>
            <w:r>
              <w:rPr>
                <w:color w:val="000000" w:themeColor="text1"/>
                <w:szCs w:val="21"/>
                <w:highlight w:val="none"/>
                <w14:textFill>
                  <w14:solidFill>
                    <w14:schemeClr w14:val="tx1"/>
                  </w14:solidFill>
                </w14:textFill>
              </w:rPr>
              <w:t>450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10VAC</w:t>
            </w:r>
            <w:r>
              <w:rPr>
                <w:rFonts w:hint="eastAsia" w:ascii="宋体" w:hAnsi="宋体"/>
                <w:color w:val="000000" w:themeColor="text1"/>
                <w:szCs w:val="21"/>
                <w:highlight w:val="none"/>
                <w14:textFill>
                  <w14:solidFill>
                    <w14:schemeClr w14:val="tx1"/>
                  </w14:solidFill>
                </w14:textFill>
              </w:rPr>
              <w:t>）</w:t>
            </w:r>
          </w:p>
        </w:tc>
        <w:tc>
          <w:tcPr>
            <w:tcW w:w="2460" w:type="dxa"/>
            <w:tcBorders>
              <w:top w:val="nil"/>
              <w:left w:val="nil"/>
              <w:bottom w:val="single" w:color="auto" w:sz="4" w:space="0"/>
              <w:right w:val="single" w:color="auto" w:sz="4" w:space="0"/>
            </w:tcBorders>
            <w:vAlign w:val="center"/>
          </w:tcPr>
          <w:p w14:paraId="0FB359B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自动恢复工作</w:t>
            </w:r>
          </w:p>
        </w:tc>
      </w:tr>
      <w:tr w14:paraId="0FE5D17A">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43FDC10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过温保护</w:t>
            </w:r>
          </w:p>
        </w:tc>
        <w:tc>
          <w:tcPr>
            <w:tcW w:w="4380" w:type="dxa"/>
            <w:tcBorders>
              <w:top w:val="nil"/>
              <w:left w:val="nil"/>
              <w:bottom w:val="single" w:color="auto" w:sz="4" w:space="0"/>
              <w:right w:val="single" w:color="auto" w:sz="4" w:space="0"/>
            </w:tcBorders>
            <w:vAlign w:val="center"/>
          </w:tcPr>
          <w:p w14:paraId="3DB7B435">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80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（恢复温度：</w:t>
            </w:r>
            <w:r>
              <w:rPr>
                <w:color w:val="000000" w:themeColor="text1"/>
                <w:szCs w:val="21"/>
                <w:highlight w:val="none"/>
                <w14:textFill>
                  <w14:solidFill>
                    <w14:schemeClr w14:val="tx1"/>
                  </w14:solidFill>
                </w14:textFill>
              </w:rPr>
              <w:t>65</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p>
        </w:tc>
        <w:tc>
          <w:tcPr>
            <w:tcW w:w="2460" w:type="dxa"/>
            <w:tcBorders>
              <w:top w:val="nil"/>
              <w:left w:val="nil"/>
              <w:bottom w:val="single" w:color="auto" w:sz="4" w:space="0"/>
              <w:right w:val="single" w:color="auto" w:sz="4" w:space="0"/>
            </w:tcBorders>
            <w:vAlign w:val="center"/>
          </w:tcPr>
          <w:p w14:paraId="5352D03D">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降温后自动恢复</w:t>
            </w:r>
          </w:p>
        </w:tc>
      </w:tr>
      <w:tr w14:paraId="67B19439">
        <w:tblPrEx>
          <w:tblCellMar>
            <w:top w:w="0" w:type="dxa"/>
            <w:left w:w="108" w:type="dxa"/>
            <w:bottom w:w="0" w:type="dxa"/>
            <w:right w:w="108" w:type="dxa"/>
          </w:tblCellMar>
        </w:tblPrEx>
        <w:trPr>
          <w:trHeight w:val="300" w:hRule="atLeast"/>
          <w:jc w:val="center"/>
        </w:trPr>
        <w:tc>
          <w:tcPr>
            <w:tcW w:w="1900" w:type="dxa"/>
            <w:tcBorders>
              <w:top w:val="nil"/>
              <w:left w:val="single" w:color="auto" w:sz="4" w:space="0"/>
              <w:bottom w:val="single" w:color="auto" w:sz="4" w:space="0"/>
              <w:right w:val="single" w:color="auto" w:sz="4" w:space="0"/>
            </w:tcBorders>
            <w:vAlign w:val="center"/>
          </w:tcPr>
          <w:p w14:paraId="69CDCB39">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冷却方式</w:t>
            </w:r>
          </w:p>
        </w:tc>
        <w:tc>
          <w:tcPr>
            <w:tcW w:w="4380" w:type="dxa"/>
            <w:tcBorders>
              <w:top w:val="nil"/>
              <w:left w:val="nil"/>
              <w:bottom w:val="single" w:color="auto" w:sz="4" w:space="0"/>
              <w:right w:val="single" w:color="auto" w:sz="4" w:space="0"/>
            </w:tcBorders>
            <w:vAlign w:val="center"/>
          </w:tcPr>
          <w:p w14:paraId="5065E14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温度和电流联合控制，线性调速</w:t>
            </w:r>
          </w:p>
        </w:tc>
        <w:tc>
          <w:tcPr>
            <w:tcW w:w="2460" w:type="dxa"/>
            <w:tcBorders>
              <w:top w:val="nil"/>
              <w:left w:val="nil"/>
              <w:bottom w:val="single" w:color="auto" w:sz="4" w:space="0"/>
              <w:right w:val="single" w:color="auto" w:sz="4" w:space="0"/>
            </w:tcBorders>
            <w:vAlign w:val="center"/>
          </w:tcPr>
          <w:p w14:paraId="4CA7DFB2">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bl>
    <w:p w14:paraId="4A46BE0D">
      <w:pPr>
        <w:contextualSpacing/>
        <w:rPr>
          <w:rFonts w:hint="eastAsia" w:ascii="time new roman" w:hAnsi="time new roman"/>
          <w:color w:val="000000" w:themeColor="text1"/>
          <w:sz w:val="24"/>
          <w:highlight w:val="none"/>
          <w14:textFill>
            <w14:solidFill>
              <w14:schemeClr w14:val="tx1"/>
            </w14:solidFill>
          </w14:textFill>
        </w:rPr>
      </w:pPr>
    </w:p>
    <w:p w14:paraId="543A0E06">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r>
        <w:rPr>
          <w:rFonts w:hint="eastAsia" w:asciiTheme="minorEastAsia" w:hAnsiTheme="minorEastAsia"/>
          <w:b/>
          <w:color w:val="000000" w:themeColor="text1"/>
          <w:sz w:val="24"/>
          <w:highlight w:val="none"/>
          <w14:textFill>
            <w14:solidFill>
              <w14:schemeClr w14:val="tx1"/>
            </w14:solidFill>
          </w14:textFill>
        </w:rPr>
        <w:t>（2）48V充电装置</w:t>
      </w:r>
    </w:p>
    <w:p w14:paraId="6A157880">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采用先进的LLC谐振软开关技术，效率高；采用APFC技术， 功率因数高；散热风扇采用温度联合电流控制模式，噪音低，风扇寿命长。</w:t>
      </w:r>
    </w:p>
    <w:tbl>
      <w:tblPr>
        <w:tblStyle w:val="51"/>
        <w:tblW w:w="8580" w:type="dxa"/>
        <w:tblInd w:w="0" w:type="dxa"/>
        <w:tblLayout w:type="autofit"/>
        <w:tblCellMar>
          <w:top w:w="0" w:type="dxa"/>
          <w:left w:w="108" w:type="dxa"/>
          <w:bottom w:w="0" w:type="dxa"/>
          <w:right w:w="108" w:type="dxa"/>
        </w:tblCellMar>
      </w:tblPr>
      <w:tblGrid>
        <w:gridCol w:w="1780"/>
        <w:gridCol w:w="4220"/>
        <w:gridCol w:w="2580"/>
      </w:tblGrid>
      <w:tr w14:paraId="1372D3D3">
        <w:tblPrEx>
          <w:tblCellMar>
            <w:top w:w="0" w:type="dxa"/>
            <w:left w:w="108" w:type="dxa"/>
            <w:bottom w:w="0" w:type="dxa"/>
            <w:right w:w="108" w:type="dxa"/>
          </w:tblCellMar>
        </w:tblPrEx>
        <w:trPr>
          <w:trHeight w:val="300" w:hRule="atLeast"/>
        </w:trPr>
        <w:tc>
          <w:tcPr>
            <w:tcW w:w="1780" w:type="dxa"/>
            <w:tcBorders>
              <w:top w:val="single" w:color="auto" w:sz="4" w:space="0"/>
              <w:left w:val="single" w:color="auto" w:sz="4" w:space="0"/>
              <w:bottom w:val="single" w:color="auto" w:sz="4" w:space="0"/>
              <w:right w:val="single" w:color="auto" w:sz="4" w:space="0"/>
            </w:tcBorders>
            <w:noWrap/>
            <w:vAlign w:val="center"/>
          </w:tcPr>
          <w:p w14:paraId="6155FD2A">
            <w:pPr>
              <w:widowControl/>
              <w:jc w:val="center"/>
              <w:rPr>
                <w:rFonts w:cs="宋体" w:asciiTheme="minorEastAsia" w:hAnsiTheme="minorEastAsia"/>
                <w:b/>
                <w:bCs/>
                <w:color w:val="000000" w:themeColor="text1"/>
                <w:szCs w:val="21"/>
                <w:highlight w:val="none"/>
                <w14:textFill>
                  <w14:solidFill>
                    <w14:schemeClr w14:val="tx1"/>
                  </w14:solidFill>
                </w14:textFill>
              </w:rPr>
            </w:pPr>
            <w:r>
              <w:rPr>
                <w:rFonts w:hint="eastAsia" w:cs="宋体" w:asciiTheme="minorEastAsia" w:hAnsiTheme="minorEastAsia"/>
                <w:b/>
                <w:bCs/>
                <w:color w:val="000000" w:themeColor="text1"/>
                <w:szCs w:val="21"/>
                <w:highlight w:val="none"/>
                <w14:textFill>
                  <w14:solidFill>
                    <w14:schemeClr w14:val="tx1"/>
                  </w14:solidFill>
                </w14:textFill>
              </w:rPr>
              <w:t>项目</w:t>
            </w:r>
          </w:p>
        </w:tc>
        <w:tc>
          <w:tcPr>
            <w:tcW w:w="4220" w:type="dxa"/>
            <w:tcBorders>
              <w:top w:val="single" w:color="auto" w:sz="4" w:space="0"/>
              <w:left w:val="nil"/>
              <w:bottom w:val="single" w:color="auto" w:sz="4" w:space="0"/>
              <w:right w:val="single" w:color="auto" w:sz="4" w:space="0"/>
            </w:tcBorders>
            <w:noWrap/>
            <w:vAlign w:val="center"/>
          </w:tcPr>
          <w:p w14:paraId="73E35847">
            <w:pPr>
              <w:widowControl/>
              <w:jc w:val="center"/>
              <w:rPr>
                <w:rFonts w:cs="宋体" w:asciiTheme="minorEastAsia" w:hAnsiTheme="minorEastAsia"/>
                <w:b/>
                <w:bCs/>
                <w:color w:val="000000" w:themeColor="text1"/>
                <w:szCs w:val="21"/>
                <w:highlight w:val="none"/>
                <w14:textFill>
                  <w14:solidFill>
                    <w14:schemeClr w14:val="tx1"/>
                  </w14:solidFill>
                </w14:textFill>
              </w:rPr>
            </w:pPr>
            <w:r>
              <w:rPr>
                <w:rFonts w:hint="eastAsia" w:cs="宋体" w:asciiTheme="minorEastAsia" w:hAnsiTheme="minorEastAsia"/>
                <w:b/>
                <w:bCs/>
                <w:color w:val="000000" w:themeColor="text1"/>
                <w:szCs w:val="21"/>
                <w:highlight w:val="none"/>
                <w14:textFill>
                  <w14:solidFill>
                    <w14:schemeClr w14:val="tx1"/>
                  </w14:solidFill>
                </w14:textFill>
              </w:rPr>
              <w:t>参数指标</w:t>
            </w:r>
          </w:p>
        </w:tc>
        <w:tc>
          <w:tcPr>
            <w:tcW w:w="2580" w:type="dxa"/>
            <w:tcBorders>
              <w:top w:val="single" w:color="auto" w:sz="4" w:space="0"/>
              <w:left w:val="nil"/>
              <w:bottom w:val="single" w:color="auto" w:sz="4" w:space="0"/>
              <w:right w:val="single" w:color="auto" w:sz="4" w:space="0"/>
            </w:tcBorders>
            <w:noWrap/>
            <w:vAlign w:val="center"/>
          </w:tcPr>
          <w:p w14:paraId="29C6641E">
            <w:pPr>
              <w:widowControl/>
              <w:jc w:val="center"/>
              <w:rPr>
                <w:rFonts w:cs="宋体" w:asciiTheme="minorEastAsia" w:hAnsiTheme="minorEastAsia"/>
                <w:b/>
                <w:bCs/>
                <w:color w:val="000000" w:themeColor="text1"/>
                <w:szCs w:val="21"/>
                <w:highlight w:val="none"/>
                <w14:textFill>
                  <w14:solidFill>
                    <w14:schemeClr w14:val="tx1"/>
                  </w14:solidFill>
                </w14:textFill>
              </w:rPr>
            </w:pPr>
            <w:r>
              <w:rPr>
                <w:rFonts w:hint="eastAsia" w:cs="宋体" w:asciiTheme="minorEastAsia" w:hAnsiTheme="minorEastAsia"/>
                <w:b/>
                <w:bCs/>
                <w:color w:val="000000" w:themeColor="text1"/>
                <w:szCs w:val="21"/>
                <w:highlight w:val="none"/>
                <w14:textFill>
                  <w14:solidFill>
                    <w14:schemeClr w14:val="tx1"/>
                  </w14:solidFill>
                </w14:textFill>
              </w:rPr>
              <w:t>备注</w:t>
            </w:r>
          </w:p>
        </w:tc>
      </w:tr>
      <w:tr w14:paraId="46C391A3">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21336F2F">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交流输入电压</w:t>
            </w:r>
          </w:p>
        </w:tc>
        <w:tc>
          <w:tcPr>
            <w:tcW w:w="4220" w:type="dxa"/>
            <w:tcBorders>
              <w:top w:val="nil"/>
              <w:left w:val="nil"/>
              <w:bottom w:val="single" w:color="auto" w:sz="4" w:space="0"/>
              <w:right w:val="single" w:color="auto" w:sz="4" w:space="0"/>
            </w:tcBorders>
            <w:noWrap/>
            <w:vAlign w:val="center"/>
          </w:tcPr>
          <w:p w14:paraId="69938FF5">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 100VAC~286VAC（45Hz～65Hz） </w:t>
            </w:r>
          </w:p>
        </w:tc>
        <w:tc>
          <w:tcPr>
            <w:tcW w:w="2580" w:type="dxa"/>
            <w:tcBorders>
              <w:top w:val="nil"/>
              <w:left w:val="nil"/>
              <w:bottom w:val="single" w:color="auto" w:sz="4" w:space="0"/>
              <w:right w:val="single" w:color="auto" w:sz="4" w:space="0"/>
            </w:tcBorders>
            <w:noWrap/>
            <w:vAlign w:val="center"/>
          </w:tcPr>
          <w:p w14:paraId="52B5110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41CCD148">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6AB5F39C">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直流输入电源</w:t>
            </w:r>
          </w:p>
        </w:tc>
        <w:tc>
          <w:tcPr>
            <w:tcW w:w="4220" w:type="dxa"/>
            <w:tcBorders>
              <w:top w:val="nil"/>
              <w:left w:val="nil"/>
              <w:bottom w:val="single" w:color="auto" w:sz="4" w:space="0"/>
              <w:right w:val="single" w:color="auto" w:sz="4" w:space="0"/>
            </w:tcBorders>
            <w:noWrap/>
            <w:vAlign w:val="center"/>
          </w:tcPr>
          <w:p w14:paraId="3BE6F96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 100VDC ~264VDC</w:t>
            </w:r>
          </w:p>
        </w:tc>
        <w:tc>
          <w:tcPr>
            <w:tcW w:w="2580" w:type="dxa"/>
            <w:tcBorders>
              <w:top w:val="nil"/>
              <w:left w:val="nil"/>
              <w:bottom w:val="single" w:color="auto" w:sz="4" w:space="0"/>
              <w:right w:val="single" w:color="auto" w:sz="4" w:space="0"/>
            </w:tcBorders>
            <w:noWrap/>
            <w:vAlign w:val="center"/>
          </w:tcPr>
          <w:p w14:paraId="07925B63">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32C39A8A">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7486D7D9">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输出额定值</w:t>
            </w:r>
          </w:p>
        </w:tc>
        <w:tc>
          <w:tcPr>
            <w:tcW w:w="4220" w:type="dxa"/>
            <w:tcBorders>
              <w:top w:val="nil"/>
              <w:left w:val="nil"/>
              <w:bottom w:val="single" w:color="auto" w:sz="4" w:space="0"/>
              <w:right w:val="single" w:color="auto" w:sz="4" w:space="0"/>
            </w:tcBorders>
            <w:noWrap/>
            <w:vAlign w:val="center"/>
          </w:tcPr>
          <w:p w14:paraId="1F005E1A">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20A/48V </w:t>
            </w:r>
          </w:p>
        </w:tc>
        <w:tc>
          <w:tcPr>
            <w:tcW w:w="2580" w:type="dxa"/>
            <w:tcBorders>
              <w:top w:val="nil"/>
              <w:left w:val="nil"/>
              <w:bottom w:val="single" w:color="auto" w:sz="4" w:space="0"/>
              <w:right w:val="single" w:color="auto" w:sz="4" w:space="0"/>
            </w:tcBorders>
            <w:noWrap/>
            <w:vAlign w:val="center"/>
          </w:tcPr>
          <w:p w14:paraId="1315EA2E">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315967F0">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046F5718">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电压调节范围</w:t>
            </w:r>
          </w:p>
        </w:tc>
        <w:tc>
          <w:tcPr>
            <w:tcW w:w="4220" w:type="dxa"/>
            <w:tcBorders>
              <w:top w:val="nil"/>
              <w:left w:val="nil"/>
              <w:bottom w:val="single" w:color="auto" w:sz="4" w:space="0"/>
              <w:right w:val="single" w:color="auto" w:sz="4" w:space="0"/>
            </w:tcBorders>
            <w:noWrap/>
            <w:vAlign w:val="center"/>
          </w:tcPr>
          <w:p w14:paraId="02BAAAD3">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19VDC～60VDC </w:t>
            </w:r>
          </w:p>
        </w:tc>
        <w:tc>
          <w:tcPr>
            <w:tcW w:w="2580" w:type="dxa"/>
            <w:tcBorders>
              <w:top w:val="nil"/>
              <w:left w:val="nil"/>
              <w:bottom w:val="single" w:color="auto" w:sz="4" w:space="0"/>
              <w:right w:val="single" w:color="auto" w:sz="4" w:space="0"/>
            </w:tcBorders>
            <w:noWrap/>
            <w:vAlign w:val="center"/>
          </w:tcPr>
          <w:p w14:paraId="55E21D0C">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1F89F62B">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0381935C">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输出限流范围</w:t>
            </w:r>
          </w:p>
        </w:tc>
        <w:tc>
          <w:tcPr>
            <w:tcW w:w="4220" w:type="dxa"/>
            <w:tcBorders>
              <w:top w:val="nil"/>
              <w:left w:val="nil"/>
              <w:bottom w:val="single" w:color="auto" w:sz="4" w:space="0"/>
              <w:right w:val="single" w:color="auto" w:sz="4" w:space="0"/>
            </w:tcBorders>
            <w:noWrap/>
            <w:vAlign w:val="center"/>
          </w:tcPr>
          <w:p w14:paraId="4F0BF89C">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10%～105%额定电流无级可调 </w:t>
            </w:r>
          </w:p>
        </w:tc>
        <w:tc>
          <w:tcPr>
            <w:tcW w:w="2580" w:type="dxa"/>
            <w:tcBorders>
              <w:top w:val="nil"/>
              <w:left w:val="nil"/>
              <w:bottom w:val="single" w:color="auto" w:sz="4" w:space="0"/>
              <w:right w:val="single" w:color="auto" w:sz="4" w:space="0"/>
            </w:tcBorders>
            <w:noWrap/>
            <w:vAlign w:val="center"/>
          </w:tcPr>
          <w:p w14:paraId="55D7F313">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105%最大限流点 </w:t>
            </w:r>
          </w:p>
        </w:tc>
      </w:tr>
      <w:tr w14:paraId="6D1F636E">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1EB343BB">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稳压精度</w:t>
            </w:r>
          </w:p>
        </w:tc>
        <w:tc>
          <w:tcPr>
            <w:tcW w:w="4220" w:type="dxa"/>
            <w:tcBorders>
              <w:top w:val="nil"/>
              <w:left w:val="nil"/>
              <w:bottom w:val="single" w:color="auto" w:sz="4" w:space="0"/>
              <w:right w:val="single" w:color="auto" w:sz="4" w:space="0"/>
            </w:tcBorders>
            <w:noWrap/>
            <w:vAlign w:val="center"/>
          </w:tcPr>
          <w:p w14:paraId="16FA4EE4">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≤0.5% </w:t>
            </w:r>
          </w:p>
        </w:tc>
        <w:tc>
          <w:tcPr>
            <w:tcW w:w="2580" w:type="dxa"/>
            <w:tcBorders>
              <w:top w:val="nil"/>
              <w:left w:val="nil"/>
              <w:bottom w:val="single" w:color="auto" w:sz="4" w:space="0"/>
              <w:right w:val="single" w:color="auto" w:sz="4" w:space="0"/>
            </w:tcBorders>
            <w:noWrap/>
            <w:vAlign w:val="center"/>
          </w:tcPr>
          <w:p w14:paraId="4DA3CF6A">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输出整流桥短接</w:t>
            </w:r>
          </w:p>
        </w:tc>
      </w:tr>
      <w:tr w14:paraId="7DD48937">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04355B3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稳流精度</w:t>
            </w:r>
          </w:p>
        </w:tc>
        <w:tc>
          <w:tcPr>
            <w:tcW w:w="4220" w:type="dxa"/>
            <w:tcBorders>
              <w:top w:val="nil"/>
              <w:left w:val="nil"/>
              <w:bottom w:val="single" w:color="auto" w:sz="4" w:space="0"/>
              <w:right w:val="single" w:color="auto" w:sz="4" w:space="0"/>
            </w:tcBorders>
            <w:noWrap/>
            <w:vAlign w:val="center"/>
          </w:tcPr>
          <w:p w14:paraId="7FDC4B28">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≤0.5% </w:t>
            </w:r>
          </w:p>
        </w:tc>
        <w:tc>
          <w:tcPr>
            <w:tcW w:w="2580" w:type="dxa"/>
            <w:tcBorders>
              <w:top w:val="nil"/>
              <w:left w:val="nil"/>
              <w:bottom w:val="single" w:color="auto" w:sz="4" w:space="0"/>
              <w:right w:val="single" w:color="auto" w:sz="4" w:space="0"/>
            </w:tcBorders>
            <w:noWrap/>
            <w:vAlign w:val="center"/>
          </w:tcPr>
          <w:p w14:paraId="7DA390AB">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7EDC6D6E">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010EC72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峰-峰值杂音</w:t>
            </w:r>
          </w:p>
        </w:tc>
        <w:tc>
          <w:tcPr>
            <w:tcW w:w="4220" w:type="dxa"/>
            <w:tcBorders>
              <w:top w:val="nil"/>
              <w:left w:val="nil"/>
              <w:bottom w:val="single" w:color="auto" w:sz="4" w:space="0"/>
              <w:right w:val="single" w:color="auto" w:sz="4" w:space="0"/>
            </w:tcBorders>
            <w:noWrap/>
            <w:vAlign w:val="center"/>
          </w:tcPr>
          <w:p w14:paraId="2798749E">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≤200mV </w:t>
            </w:r>
          </w:p>
        </w:tc>
        <w:tc>
          <w:tcPr>
            <w:tcW w:w="2580" w:type="dxa"/>
            <w:tcBorders>
              <w:top w:val="nil"/>
              <w:left w:val="nil"/>
              <w:bottom w:val="single" w:color="auto" w:sz="4" w:space="0"/>
              <w:right w:val="single" w:color="auto" w:sz="4" w:space="0"/>
            </w:tcBorders>
            <w:noWrap/>
            <w:vAlign w:val="center"/>
          </w:tcPr>
          <w:p w14:paraId="38060B6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≤±0.5% </w:t>
            </w:r>
          </w:p>
        </w:tc>
      </w:tr>
      <w:tr w14:paraId="4D76FE60">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5ACC170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功率因数</w:t>
            </w:r>
          </w:p>
        </w:tc>
        <w:tc>
          <w:tcPr>
            <w:tcW w:w="4220" w:type="dxa"/>
            <w:tcBorders>
              <w:top w:val="nil"/>
              <w:left w:val="nil"/>
              <w:bottom w:val="single" w:color="auto" w:sz="4" w:space="0"/>
              <w:right w:val="single" w:color="auto" w:sz="4" w:space="0"/>
            </w:tcBorders>
            <w:noWrap/>
            <w:vAlign w:val="center"/>
          </w:tcPr>
          <w:p w14:paraId="33BAF6EA">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≥0.99</w:t>
            </w:r>
          </w:p>
        </w:tc>
        <w:tc>
          <w:tcPr>
            <w:tcW w:w="2580" w:type="dxa"/>
            <w:tcBorders>
              <w:top w:val="nil"/>
              <w:left w:val="nil"/>
              <w:bottom w:val="single" w:color="auto" w:sz="4" w:space="0"/>
              <w:right w:val="single" w:color="auto" w:sz="4" w:space="0"/>
            </w:tcBorders>
            <w:noWrap/>
            <w:vAlign w:val="center"/>
          </w:tcPr>
          <w:p w14:paraId="2A83CC7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4914F868">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03F1420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THD</w:t>
            </w:r>
          </w:p>
        </w:tc>
        <w:tc>
          <w:tcPr>
            <w:tcW w:w="4220" w:type="dxa"/>
            <w:tcBorders>
              <w:top w:val="nil"/>
              <w:left w:val="nil"/>
              <w:bottom w:val="single" w:color="auto" w:sz="4" w:space="0"/>
              <w:right w:val="single" w:color="auto" w:sz="4" w:space="0"/>
            </w:tcBorders>
            <w:noWrap/>
            <w:vAlign w:val="center"/>
          </w:tcPr>
          <w:p w14:paraId="5BF9355C">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≤5% </w:t>
            </w:r>
          </w:p>
        </w:tc>
        <w:tc>
          <w:tcPr>
            <w:tcW w:w="2580" w:type="dxa"/>
            <w:tcBorders>
              <w:top w:val="nil"/>
              <w:left w:val="nil"/>
              <w:bottom w:val="single" w:color="auto" w:sz="4" w:space="0"/>
              <w:right w:val="single" w:color="auto" w:sz="4" w:space="0"/>
            </w:tcBorders>
            <w:noWrap/>
            <w:vAlign w:val="center"/>
          </w:tcPr>
          <w:p w14:paraId="028AD623">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7AC8B584">
        <w:tblPrEx>
          <w:tblCellMar>
            <w:top w:w="0" w:type="dxa"/>
            <w:left w:w="108" w:type="dxa"/>
            <w:bottom w:w="0" w:type="dxa"/>
            <w:right w:w="108" w:type="dxa"/>
          </w:tblCellMar>
        </w:tblPrEx>
        <w:trPr>
          <w:trHeight w:val="300" w:hRule="atLeast"/>
        </w:trPr>
        <w:tc>
          <w:tcPr>
            <w:tcW w:w="1780" w:type="dxa"/>
            <w:tcBorders>
              <w:top w:val="single" w:color="auto" w:sz="4" w:space="0"/>
              <w:left w:val="single" w:color="auto" w:sz="4" w:space="0"/>
              <w:bottom w:val="single" w:color="auto" w:sz="4" w:space="0"/>
              <w:right w:val="single" w:color="auto" w:sz="4" w:space="0"/>
            </w:tcBorders>
            <w:noWrap/>
            <w:vAlign w:val="center"/>
          </w:tcPr>
          <w:p w14:paraId="73B5642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转换效率</w:t>
            </w:r>
          </w:p>
        </w:tc>
        <w:tc>
          <w:tcPr>
            <w:tcW w:w="4220" w:type="dxa"/>
            <w:tcBorders>
              <w:top w:val="single" w:color="auto" w:sz="4" w:space="0"/>
              <w:left w:val="nil"/>
              <w:bottom w:val="single" w:color="auto" w:sz="4" w:space="0"/>
              <w:right w:val="single" w:color="auto" w:sz="4" w:space="0"/>
            </w:tcBorders>
            <w:noWrap/>
            <w:vAlign w:val="center"/>
          </w:tcPr>
          <w:p w14:paraId="393F90E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≥90% </w:t>
            </w:r>
          </w:p>
        </w:tc>
        <w:tc>
          <w:tcPr>
            <w:tcW w:w="2580" w:type="dxa"/>
            <w:tcBorders>
              <w:top w:val="single" w:color="auto" w:sz="4" w:space="0"/>
              <w:left w:val="nil"/>
              <w:bottom w:val="single" w:color="auto" w:sz="4" w:space="0"/>
              <w:right w:val="single" w:color="auto" w:sz="4" w:space="0"/>
            </w:tcBorders>
            <w:noWrap/>
            <w:vAlign w:val="center"/>
          </w:tcPr>
          <w:p w14:paraId="1C42BF15">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26F84EB1">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5E7A8B8F">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均流</w:t>
            </w:r>
          </w:p>
        </w:tc>
        <w:tc>
          <w:tcPr>
            <w:tcW w:w="4220" w:type="dxa"/>
            <w:tcBorders>
              <w:top w:val="nil"/>
              <w:left w:val="nil"/>
              <w:bottom w:val="single" w:color="auto" w:sz="4" w:space="0"/>
              <w:right w:val="single" w:color="auto" w:sz="4" w:space="0"/>
            </w:tcBorders>
            <w:noWrap/>
            <w:vAlign w:val="center"/>
          </w:tcPr>
          <w:p w14:paraId="1821328B">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≤±5% </w:t>
            </w:r>
          </w:p>
        </w:tc>
        <w:tc>
          <w:tcPr>
            <w:tcW w:w="2580" w:type="dxa"/>
            <w:tcBorders>
              <w:top w:val="nil"/>
              <w:left w:val="nil"/>
              <w:bottom w:val="single" w:color="auto" w:sz="4" w:space="0"/>
              <w:right w:val="single" w:color="auto" w:sz="4" w:space="0"/>
            </w:tcBorders>
            <w:noWrap/>
            <w:vAlign w:val="center"/>
          </w:tcPr>
          <w:p w14:paraId="6E917DD8">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支持最大并机数量32个</w:t>
            </w:r>
          </w:p>
        </w:tc>
      </w:tr>
      <w:tr w14:paraId="0BAE5E40">
        <w:tblPrEx>
          <w:tblCellMar>
            <w:top w:w="0" w:type="dxa"/>
            <w:left w:w="108" w:type="dxa"/>
            <w:bottom w:w="0" w:type="dxa"/>
            <w:right w:w="108" w:type="dxa"/>
          </w:tblCellMar>
        </w:tblPrEx>
        <w:trPr>
          <w:trHeight w:val="300" w:hRule="atLeast"/>
        </w:trPr>
        <w:tc>
          <w:tcPr>
            <w:tcW w:w="1780" w:type="dxa"/>
            <w:tcBorders>
              <w:top w:val="single" w:color="auto" w:sz="4" w:space="0"/>
              <w:left w:val="single" w:color="auto" w:sz="4" w:space="0"/>
              <w:bottom w:val="single" w:color="auto" w:sz="4" w:space="0"/>
              <w:right w:val="single" w:color="auto" w:sz="4" w:space="0"/>
            </w:tcBorders>
            <w:noWrap/>
            <w:vAlign w:val="center"/>
          </w:tcPr>
          <w:p w14:paraId="4C3CF2F8">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通讯接口</w:t>
            </w:r>
          </w:p>
        </w:tc>
        <w:tc>
          <w:tcPr>
            <w:tcW w:w="4220" w:type="dxa"/>
            <w:tcBorders>
              <w:top w:val="single" w:color="auto" w:sz="4" w:space="0"/>
              <w:left w:val="nil"/>
              <w:bottom w:val="single" w:color="auto" w:sz="4" w:space="0"/>
              <w:right w:val="single" w:color="auto" w:sz="4" w:space="0"/>
            </w:tcBorders>
            <w:noWrap/>
            <w:vAlign w:val="center"/>
          </w:tcPr>
          <w:p w14:paraId="608B90D8">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RS485 </w:t>
            </w:r>
          </w:p>
        </w:tc>
        <w:tc>
          <w:tcPr>
            <w:tcW w:w="2580" w:type="dxa"/>
            <w:tcBorders>
              <w:top w:val="single" w:color="auto" w:sz="4" w:space="0"/>
              <w:left w:val="nil"/>
              <w:bottom w:val="single" w:color="auto" w:sz="4" w:space="0"/>
              <w:right w:val="single" w:color="auto" w:sz="4" w:space="0"/>
            </w:tcBorders>
            <w:noWrap/>
            <w:vAlign w:val="center"/>
          </w:tcPr>
          <w:p w14:paraId="5231800E">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3470AFD7">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4503457F">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输出过压保护</w:t>
            </w:r>
          </w:p>
        </w:tc>
        <w:tc>
          <w:tcPr>
            <w:tcW w:w="4220" w:type="dxa"/>
            <w:tcBorders>
              <w:top w:val="nil"/>
              <w:left w:val="nil"/>
              <w:bottom w:val="single" w:color="auto" w:sz="4" w:space="0"/>
              <w:right w:val="single" w:color="auto" w:sz="4" w:space="0"/>
            </w:tcBorders>
            <w:noWrap/>
            <w:vAlign w:val="center"/>
          </w:tcPr>
          <w:p w14:paraId="577D804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62±2VDC，不可恢复</w:t>
            </w:r>
          </w:p>
        </w:tc>
        <w:tc>
          <w:tcPr>
            <w:tcW w:w="2580" w:type="dxa"/>
            <w:tcBorders>
              <w:top w:val="nil"/>
              <w:left w:val="nil"/>
              <w:bottom w:val="single" w:color="auto" w:sz="4" w:space="0"/>
              <w:right w:val="single" w:color="auto" w:sz="4" w:space="0"/>
            </w:tcBorders>
            <w:noWrap/>
            <w:vAlign w:val="center"/>
          </w:tcPr>
          <w:p w14:paraId="507FAD4B">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需手动恢复</w:t>
            </w:r>
          </w:p>
        </w:tc>
      </w:tr>
      <w:tr w14:paraId="57F2737E">
        <w:tblPrEx>
          <w:tblCellMar>
            <w:top w:w="0" w:type="dxa"/>
            <w:left w:w="108" w:type="dxa"/>
            <w:bottom w:w="0" w:type="dxa"/>
            <w:right w:w="108" w:type="dxa"/>
          </w:tblCellMar>
        </w:tblPrEx>
        <w:trPr>
          <w:trHeight w:val="600" w:hRule="atLeast"/>
        </w:trPr>
        <w:tc>
          <w:tcPr>
            <w:tcW w:w="1780" w:type="dxa"/>
            <w:tcBorders>
              <w:top w:val="nil"/>
              <w:left w:val="single" w:color="auto" w:sz="4" w:space="0"/>
              <w:bottom w:val="single" w:color="auto" w:sz="4" w:space="0"/>
              <w:right w:val="single" w:color="auto" w:sz="4" w:space="0"/>
            </w:tcBorders>
            <w:noWrap/>
            <w:vAlign w:val="center"/>
          </w:tcPr>
          <w:p w14:paraId="382A2BA7">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输入欠压保护</w:t>
            </w:r>
          </w:p>
        </w:tc>
        <w:tc>
          <w:tcPr>
            <w:tcW w:w="4220" w:type="dxa"/>
            <w:tcBorders>
              <w:top w:val="nil"/>
              <w:left w:val="nil"/>
              <w:bottom w:val="single" w:color="auto" w:sz="4" w:space="0"/>
              <w:right w:val="single" w:color="auto" w:sz="4" w:space="0"/>
            </w:tcBorders>
            <w:vAlign w:val="center"/>
          </w:tcPr>
          <w:p w14:paraId="55702C3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81±10VAC（恢复电压100±10VAC）</w:t>
            </w:r>
            <w:r>
              <w:rPr>
                <w:rFonts w:hint="eastAsia" w:cs="宋体" w:asciiTheme="minorEastAsia" w:hAnsiTheme="minorEastAsia"/>
                <w:color w:val="000000" w:themeColor="text1"/>
                <w:szCs w:val="21"/>
                <w:highlight w:val="none"/>
                <w14:textFill>
                  <w14:solidFill>
                    <w14:schemeClr w14:val="tx1"/>
                  </w14:solidFill>
                </w14:textFill>
              </w:rPr>
              <w:br w:type="textWrapping"/>
            </w:r>
            <w:r>
              <w:rPr>
                <w:rFonts w:hint="eastAsia" w:cs="宋体" w:asciiTheme="minorEastAsia" w:hAnsiTheme="minorEastAsia"/>
                <w:color w:val="000000" w:themeColor="text1"/>
                <w:szCs w:val="21"/>
                <w:highlight w:val="none"/>
                <w14:textFill>
                  <w14:solidFill>
                    <w14:schemeClr w14:val="tx1"/>
                  </w14:solidFill>
                </w14:textFill>
              </w:rPr>
              <w:t xml:space="preserve">73±10DC（恢复电压88±10DC） </w:t>
            </w:r>
          </w:p>
        </w:tc>
        <w:tc>
          <w:tcPr>
            <w:tcW w:w="2580" w:type="dxa"/>
            <w:tcBorders>
              <w:top w:val="nil"/>
              <w:left w:val="nil"/>
              <w:bottom w:val="single" w:color="auto" w:sz="4" w:space="0"/>
              <w:right w:val="single" w:color="auto" w:sz="4" w:space="0"/>
            </w:tcBorders>
            <w:noWrap/>
            <w:vAlign w:val="center"/>
          </w:tcPr>
          <w:p w14:paraId="1BABEEB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09B3BD8C">
        <w:tblPrEx>
          <w:tblCellMar>
            <w:top w:w="0" w:type="dxa"/>
            <w:left w:w="108" w:type="dxa"/>
            <w:bottom w:w="0" w:type="dxa"/>
            <w:right w:w="108" w:type="dxa"/>
          </w:tblCellMar>
        </w:tblPrEx>
        <w:trPr>
          <w:trHeight w:val="600" w:hRule="atLeast"/>
        </w:trPr>
        <w:tc>
          <w:tcPr>
            <w:tcW w:w="1780" w:type="dxa"/>
            <w:tcBorders>
              <w:top w:val="nil"/>
              <w:left w:val="single" w:color="auto" w:sz="4" w:space="0"/>
              <w:bottom w:val="single" w:color="auto" w:sz="4" w:space="0"/>
              <w:right w:val="single" w:color="auto" w:sz="4" w:space="0"/>
            </w:tcBorders>
            <w:noWrap/>
            <w:vAlign w:val="center"/>
          </w:tcPr>
          <w:p w14:paraId="0307FE31">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输入过压保护</w:t>
            </w:r>
          </w:p>
        </w:tc>
        <w:tc>
          <w:tcPr>
            <w:tcW w:w="4220" w:type="dxa"/>
            <w:tcBorders>
              <w:top w:val="nil"/>
              <w:left w:val="nil"/>
              <w:bottom w:val="single" w:color="auto" w:sz="4" w:space="0"/>
              <w:right w:val="single" w:color="auto" w:sz="4" w:space="0"/>
            </w:tcBorders>
            <w:vAlign w:val="center"/>
          </w:tcPr>
          <w:p w14:paraId="1D28813E">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292±10VAC（恢复电压282±10VAC）</w:t>
            </w:r>
            <w:r>
              <w:rPr>
                <w:rFonts w:hint="eastAsia" w:cs="宋体" w:asciiTheme="minorEastAsia" w:hAnsiTheme="minorEastAsia"/>
                <w:color w:val="000000" w:themeColor="text1"/>
                <w:szCs w:val="21"/>
                <w:highlight w:val="none"/>
                <w14:textFill>
                  <w14:solidFill>
                    <w14:schemeClr w14:val="tx1"/>
                  </w14:solidFill>
                </w14:textFill>
              </w:rPr>
              <w:br w:type="textWrapping"/>
            </w:r>
            <w:r>
              <w:rPr>
                <w:rFonts w:hint="eastAsia" w:cs="宋体" w:asciiTheme="minorEastAsia" w:hAnsiTheme="minorEastAsia"/>
                <w:color w:val="000000" w:themeColor="text1"/>
                <w:szCs w:val="21"/>
                <w:highlight w:val="none"/>
                <w14:textFill>
                  <w14:solidFill>
                    <w14:schemeClr w14:val="tx1"/>
                  </w14:solidFill>
                </w14:textFill>
              </w:rPr>
              <w:t>270±8DC（恢复电压260±8DC）</w:t>
            </w:r>
          </w:p>
        </w:tc>
        <w:tc>
          <w:tcPr>
            <w:tcW w:w="2580" w:type="dxa"/>
            <w:tcBorders>
              <w:top w:val="nil"/>
              <w:left w:val="nil"/>
              <w:bottom w:val="single" w:color="auto" w:sz="4" w:space="0"/>
              <w:right w:val="single" w:color="auto" w:sz="4" w:space="0"/>
            </w:tcBorders>
            <w:noWrap/>
            <w:vAlign w:val="center"/>
          </w:tcPr>
          <w:p w14:paraId="73050AB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0F56FC24">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2DD8B259">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输入保护</w:t>
            </w:r>
          </w:p>
        </w:tc>
        <w:tc>
          <w:tcPr>
            <w:tcW w:w="4220" w:type="dxa"/>
            <w:tcBorders>
              <w:top w:val="nil"/>
              <w:left w:val="nil"/>
              <w:bottom w:val="single" w:color="auto" w:sz="4" w:space="0"/>
              <w:right w:val="single" w:color="auto" w:sz="4" w:space="0"/>
            </w:tcBorders>
            <w:noWrap/>
            <w:vAlign w:val="center"/>
          </w:tcPr>
          <w:p w14:paraId="0EC3B804">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保险；防雷电路</w:t>
            </w:r>
          </w:p>
        </w:tc>
        <w:tc>
          <w:tcPr>
            <w:tcW w:w="2580" w:type="dxa"/>
            <w:tcBorders>
              <w:top w:val="nil"/>
              <w:left w:val="nil"/>
              <w:bottom w:val="single" w:color="auto" w:sz="4" w:space="0"/>
              <w:right w:val="single" w:color="auto" w:sz="4" w:space="0"/>
            </w:tcBorders>
            <w:noWrap/>
            <w:vAlign w:val="center"/>
          </w:tcPr>
          <w:p w14:paraId="6833158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r w14:paraId="06AB7996">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1AAC713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过温保护</w:t>
            </w:r>
          </w:p>
        </w:tc>
        <w:tc>
          <w:tcPr>
            <w:tcW w:w="4220" w:type="dxa"/>
            <w:tcBorders>
              <w:top w:val="nil"/>
              <w:left w:val="nil"/>
              <w:bottom w:val="single" w:color="auto" w:sz="4" w:space="0"/>
              <w:right w:val="single" w:color="auto" w:sz="4" w:space="0"/>
            </w:tcBorders>
            <w:noWrap/>
            <w:vAlign w:val="center"/>
          </w:tcPr>
          <w:p w14:paraId="0ADFC0A0">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80℃±5（恢复温度：60℃±5） </w:t>
            </w:r>
          </w:p>
        </w:tc>
        <w:tc>
          <w:tcPr>
            <w:tcW w:w="2580" w:type="dxa"/>
            <w:tcBorders>
              <w:top w:val="nil"/>
              <w:left w:val="nil"/>
              <w:bottom w:val="single" w:color="auto" w:sz="4" w:space="0"/>
              <w:right w:val="single" w:color="auto" w:sz="4" w:space="0"/>
            </w:tcBorders>
            <w:noWrap/>
            <w:vAlign w:val="center"/>
          </w:tcPr>
          <w:p w14:paraId="2753EC92">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降温后自动恢复 </w:t>
            </w:r>
          </w:p>
        </w:tc>
      </w:tr>
      <w:tr w14:paraId="25959465">
        <w:tblPrEx>
          <w:tblCellMar>
            <w:top w:w="0" w:type="dxa"/>
            <w:left w:w="108" w:type="dxa"/>
            <w:bottom w:w="0" w:type="dxa"/>
            <w:right w:w="108" w:type="dxa"/>
          </w:tblCellMar>
        </w:tblPrEx>
        <w:trPr>
          <w:trHeight w:val="300" w:hRule="atLeast"/>
        </w:trPr>
        <w:tc>
          <w:tcPr>
            <w:tcW w:w="1780" w:type="dxa"/>
            <w:tcBorders>
              <w:top w:val="nil"/>
              <w:left w:val="single" w:color="auto" w:sz="4" w:space="0"/>
              <w:bottom w:val="single" w:color="auto" w:sz="4" w:space="0"/>
              <w:right w:val="single" w:color="auto" w:sz="4" w:space="0"/>
            </w:tcBorders>
            <w:noWrap/>
            <w:vAlign w:val="center"/>
          </w:tcPr>
          <w:p w14:paraId="2D390913">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冷却方式</w:t>
            </w:r>
          </w:p>
        </w:tc>
        <w:tc>
          <w:tcPr>
            <w:tcW w:w="4220" w:type="dxa"/>
            <w:tcBorders>
              <w:top w:val="nil"/>
              <w:left w:val="nil"/>
              <w:bottom w:val="single" w:color="auto" w:sz="4" w:space="0"/>
              <w:right w:val="single" w:color="auto" w:sz="4" w:space="0"/>
            </w:tcBorders>
            <w:noWrap/>
            <w:vAlign w:val="center"/>
          </w:tcPr>
          <w:p w14:paraId="3360D766">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温度和电流联合控制，线性调速</w:t>
            </w:r>
          </w:p>
        </w:tc>
        <w:tc>
          <w:tcPr>
            <w:tcW w:w="2580" w:type="dxa"/>
            <w:tcBorders>
              <w:top w:val="nil"/>
              <w:left w:val="nil"/>
              <w:bottom w:val="single" w:color="auto" w:sz="4" w:space="0"/>
              <w:right w:val="single" w:color="auto" w:sz="4" w:space="0"/>
            </w:tcBorders>
            <w:noWrap/>
            <w:vAlign w:val="center"/>
          </w:tcPr>
          <w:p w14:paraId="23F7907D">
            <w:pPr>
              <w:widowControl/>
              <w:jc w:val="center"/>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w:t>
            </w:r>
          </w:p>
        </w:tc>
      </w:tr>
    </w:tbl>
    <w:p w14:paraId="3963C944">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bookmarkStart w:id="71" w:name="OLE_LINK20"/>
    </w:p>
    <w:p w14:paraId="254A3C8E">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r>
        <w:rPr>
          <w:rFonts w:hint="eastAsia" w:asciiTheme="minorEastAsia" w:hAnsiTheme="minorEastAsia"/>
          <w:b/>
          <w:color w:val="000000" w:themeColor="text1"/>
          <w:sz w:val="24"/>
          <w:highlight w:val="none"/>
          <w14:textFill>
            <w14:solidFill>
              <w14:schemeClr w14:val="tx1"/>
            </w14:solidFill>
          </w14:textFill>
        </w:rPr>
        <w:t>（3）主监控设备</w:t>
      </w:r>
    </w:p>
    <w:bookmarkEnd w:id="71"/>
    <w:p w14:paraId="12C4EE44">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通过扩展信号采集单元的方式实现各种数据采集，通过 RS485 接口与远程控制中心平台联机，实现无人值守机房方案，同时具备RS485\CAN接口，支持多种通信规约，全面实现“四遥”功能</w:t>
      </w:r>
      <w:r>
        <w:rPr>
          <w:rFonts w:hint="eastAsia" w:asciiTheme="minorEastAsia" w:hAnsiTheme="minorEastAsia"/>
          <w:color w:val="000000" w:themeColor="text1"/>
          <w:sz w:val="24"/>
          <w:highlight w:val="none"/>
          <w14:textFill>
            <w14:solidFill>
              <w14:schemeClr w14:val="tx1"/>
            </w14:solidFill>
          </w14:textFill>
        </w:rPr>
        <w:t>。</w:t>
      </w:r>
    </w:p>
    <w:p w14:paraId="10610C64">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7寸</w:t>
      </w:r>
      <w:r>
        <w:rPr>
          <w:rFonts w:asciiTheme="minorEastAsia" w:hAnsiTheme="minorEastAsia"/>
          <w:color w:val="000000" w:themeColor="text1"/>
          <w:sz w:val="24"/>
          <w:highlight w:val="none"/>
          <w14:textFill>
            <w14:solidFill>
              <w14:schemeClr w14:val="tx1"/>
            </w14:solidFill>
          </w14:textFill>
        </w:rPr>
        <w:t>触摸显示屏，实现人机界面可视化操作，全中文菜单，操作简单方便，易于上手</w:t>
      </w:r>
      <w:r>
        <w:rPr>
          <w:rFonts w:hint="eastAsia" w:asciiTheme="minorEastAsia" w:hAnsiTheme="minorEastAsia"/>
          <w:color w:val="000000" w:themeColor="text1"/>
          <w:sz w:val="24"/>
          <w:highlight w:val="none"/>
          <w14:textFill>
            <w14:solidFill>
              <w14:schemeClr w14:val="tx1"/>
            </w14:solidFill>
          </w14:textFill>
        </w:rPr>
        <w:t>。</w:t>
      </w:r>
    </w:p>
    <w:p w14:paraId="4C402309">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完善的告警处理及记录功能，可通过当前故障和历史故障查询系统故障记录</w:t>
      </w:r>
      <w:r>
        <w:rPr>
          <w:rFonts w:hint="eastAsia" w:asciiTheme="minorEastAsia" w:hAnsiTheme="minorEastAsia"/>
          <w:color w:val="000000" w:themeColor="text1"/>
          <w:sz w:val="24"/>
          <w:highlight w:val="none"/>
          <w14:textFill>
            <w14:solidFill>
              <w14:schemeClr w14:val="tx1"/>
            </w14:solidFill>
          </w14:textFill>
        </w:rPr>
        <w:t>。</w:t>
      </w:r>
      <w:r>
        <w:rPr>
          <w:rFonts w:asciiTheme="minorEastAsia" w:hAnsiTheme="minorEastAsia"/>
          <w:color w:val="000000" w:themeColor="text1"/>
          <w:sz w:val="24"/>
          <w:highlight w:val="none"/>
          <w14:textFill>
            <w14:solidFill>
              <w14:schemeClr w14:val="tx1"/>
            </w14:solidFill>
          </w14:textFill>
        </w:rPr>
        <w:t xml:space="preserve"> </w:t>
      </w:r>
    </w:p>
    <w:p w14:paraId="018D54C1">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可按实际项目要求，灵活配置系统，包括综合采集单元的绝缘与开关量检测复用</w:t>
      </w:r>
      <w:r>
        <w:rPr>
          <w:rFonts w:hint="eastAsia" w:asciiTheme="minorEastAsia" w:hAnsiTheme="minorEastAsia"/>
          <w:color w:val="000000" w:themeColor="text1"/>
          <w:sz w:val="24"/>
          <w:highlight w:val="none"/>
          <w14:textFill>
            <w14:solidFill>
              <w14:schemeClr w14:val="tx1"/>
            </w14:solidFill>
          </w14:textFill>
        </w:rPr>
        <w:t>。</w:t>
      </w:r>
    </w:p>
    <w:p w14:paraId="0973EAC2">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根据系统不同要求，可通过RS485总线扩展交流检测单元、直流检测单元、电池检测单元、 绝缘监测单元、开关量检测单元</w:t>
      </w:r>
      <w:r>
        <w:rPr>
          <w:rFonts w:hint="eastAsia" w:asciiTheme="minorEastAsia" w:hAnsiTheme="minorEastAsia"/>
          <w:color w:val="000000" w:themeColor="text1"/>
          <w:sz w:val="24"/>
          <w:highlight w:val="none"/>
          <w14:textFill>
            <w14:solidFill>
              <w14:schemeClr w14:val="tx1"/>
            </w14:solidFill>
          </w14:textFill>
        </w:rPr>
        <w:t>。</w:t>
      </w:r>
    </w:p>
    <w:p w14:paraId="52706E44">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 xml:space="preserve">可与各厂家模块配套使用。 </w:t>
      </w:r>
    </w:p>
    <w:p w14:paraId="1D5733E4">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可与DC/DC变换器、DC/AC逆变器通信。</w:t>
      </w:r>
    </w:p>
    <w:tbl>
      <w:tblPr>
        <w:tblStyle w:val="51"/>
        <w:tblW w:w="0" w:type="auto"/>
        <w:tblInd w:w="0" w:type="dxa"/>
        <w:tblLayout w:type="autofit"/>
        <w:tblCellMar>
          <w:top w:w="0" w:type="dxa"/>
          <w:left w:w="108" w:type="dxa"/>
          <w:bottom w:w="0" w:type="dxa"/>
          <w:right w:w="108" w:type="dxa"/>
        </w:tblCellMar>
      </w:tblPr>
      <w:tblGrid>
        <w:gridCol w:w="1849"/>
        <w:gridCol w:w="2329"/>
        <w:gridCol w:w="2329"/>
        <w:gridCol w:w="925"/>
        <w:gridCol w:w="1798"/>
      </w:tblGrid>
      <w:tr w14:paraId="6DDAC6F5">
        <w:tblPrEx>
          <w:tblCellMar>
            <w:top w:w="0" w:type="dxa"/>
            <w:left w:w="108" w:type="dxa"/>
            <w:bottom w:w="0" w:type="dxa"/>
            <w:right w:w="108" w:type="dxa"/>
          </w:tblCellMar>
        </w:tblPrEx>
        <w:trPr>
          <w:cantSplit/>
          <w:trHeight w:val="300" w:hRule="atLeast"/>
        </w:trPr>
        <w:tc>
          <w:tcPr>
            <w:tcW w:w="0" w:type="auto"/>
            <w:tcBorders>
              <w:top w:val="single" w:color="auto" w:sz="4" w:space="0"/>
              <w:left w:val="single" w:color="auto" w:sz="4" w:space="0"/>
              <w:bottom w:val="single" w:color="auto" w:sz="4" w:space="0"/>
              <w:right w:val="single" w:color="auto" w:sz="4" w:space="0"/>
            </w:tcBorders>
            <w:vAlign w:val="center"/>
          </w:tcPr>
          <w:p w14:paraId="70D143A3">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项目</w:t>
            </w:r>
          </w:p>
        </w:tc>
        <w:tc>
          <w:tcPr>
            <w:tcW w:w="0" w:type="auto"/>
            <w:gridSpan w:val="2"/>
            <w:tcBorders>
              <w:top w:val="single" w:color="auto" w:sz="4" w:space="0"/>
              <w:left w:val="nil"/>
              <w:bottom w:val="single" w:color="auto" w:sz="4" w:space="0"/>
              <w:right w:val="single" w:color="auto" w:sz="4" w:space="0"/>
            </w:tcBorders>
            <w:vAlign w:val="center"/>
          </w:tcPr>
          <w:p w14:paraId="0B186769">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参数指标</w:t>
            </w:r>
          </w:p>
        </w:tc>
        <w:tc>
          <w:tcPr>
            <w:tcW w:w="0" w:type="auto"/>
            <w:tcBorders>
              <w:top w:val="single" w:color="auto" w:sz="4" w:space="0"/>
              <w:left w:val="nil"/>
              <w:bottom w:val="single" w:color="auto" w:sz="4" w:space="0"/>
              <w:right w:val="single" w:color="auto" w:sz="4" w:space="0"/>
            </w:tcBorders>
            <w:vAlign w:val="center"/>
          </w:tcPr>
          <w:p w14:paraId="6B4EAF77">
            <w:pPr>
              <w:widowControl/>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精度等级</w:t>
            </w:r>
          </w:p>
        </w:tc>
        <w:tc>
          <w:tcPr>
            <w:tcW w:w="0" w:type="auto"/>
            <w:tcBorders>
              <w:top w:val="single" w:color="auto" w:sz="4" w:space="0"/>
              <w:left w:val="nil"/>
              <w:bottom w:val="single" w:color="auto" w:sz="4" w:space="0"/>
              <w:right w:val="single" w:color="auto" w:sz="4" w:space="0"/>
            </w:tcBorders>
            <w:vAlign w:val="center"/>
          </w:tcPr>
          <w:p w14:paraId="0F755AA4">
            <w:pPr>
              <w:widowControl/>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备注</w:t>
            </w:r>
          </w:p>
        </w:tc>
      </w:tr>
      <w:tr w14:paraId="05708A1F">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64C4261D">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供电范围</w:t>
            </w:r>
          </w:p>
        </w:tc>
        <w:tc>
          <w:tcPr>
            <w:tcW w:w="0" w:type="auto"/>
            <w:gridSpan w:val="2"/>
            <w:tcBorders>
              <w:top w:val="single" w:color="auto" w:sz="4" w:space="0"/>
              <w:left w:val="nil"/>
              <w:bottom w:val="single" w:color="auto" w:sz="4" w:space="0"/>
              <w:right w:val="single" w:color="auto" w:sz="4" w:space="0"/>
            </w:tcBorders>
            <w:vAlign w:val="center"/>
          </w:tcPr>
          <w:p w14:paraId="52E99CF9">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80-320VDC</w:t>
            </w:r>
            <w:r>
              <w:rPr>
                <w:rFonts w:hint="eastAsia" w:ascii="宋体" w:hAnsi="宋体"/>
                <w:color w:val="000000" w:themeColor="text1"/>
                <w:szCs w:val="21"/>
                <w:highlight w:val="none"/>
                <w14:textFill>
                  <w14:solidFill>
                    <w14:schemeClr w14:val="tx1"/>
                  </w14:solidFill>
                </w14:textFill>
              </w:rPr>
              <w:t>或</w:t>
            </w:r>
            <w:r>
              <w:rPr>
                <w:color w:val="000000" w:themeColor="text1"/>
                <w:szCs w:val="21"/>
                <w:highlight w:val="none"/>
                <w14:textFill>
                  <w14:solidFill>
                    <w14:schemeClr w14:val="tx1"/>
                  </w14:solidFill>
                </w14:textFill>
              </w:rPr>
              <w:t>85-250VAC</w:t>
            </w:r>
          </w:p>
        </w:tc>
        <w:tc>
          <w:tcPr>
            <w:tcW w:w="0" w:type="auto"/>
            <w:tcBorders>
              <w:top w:val="nil"/>
              <w:left w:val="nil"/>
              <w:bottom w:val="single" w:color="auto" w:sz="4" w:space="0"/>
              <w:right w:val="single" w:color="auto" w:sz="4" w:space="0"/>
            </w:tcBorders>
            <w:vAlign w:val="center"/>
          </w:tcPr>
          <w:p w14:paraId="509B5BC0">
            <w:pPr>
              <w:widowControl/>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12B3AFD3">
            <w:pPr>
              <w:widowControl/>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tc>
      </w:tr>
      <w:tr w14:paraId="5876F85E">
        <w:tblPrEx>
          <w:tblCellMar>
            <w:top w:w="0" w:type="dxa"/>
            <w:left w:w="108" w:type="dxa"/>
            <w:bottom w:w="0" w:type="dxa"/>
            <w:right w:w="108" w:type="dxa"/>
          </w:tblCellMar>
        </w:tblPrEx>
        <w:trPr>
          <w:cantSplit/>
          <w:trHeight w:val="300" w:hRule="atLeast"/>
        </w:trPr>
        <w:tc>
          <w:tcPr>
            <w:tcW w:w="0" w:type="auto"/>
            <w:vMerge w:val="restart"/>
            <w:tcBorders>
              <w:top w:val="nil"/>
              <w:left w:val="single" w:color="auto" w:sz="4" w:space="0"/>
              <w:bottom w:val="single" w:color="auto" w:sz="4" w:space="0"/>
              <w:right w:val="single" w:color="auto" w:sz="4" w:space="0"/>
            </w:tcBorders>
            <w:vAlign w:val="center"/>
          </w:tcPr>
          <w:p w14:paraId="1CBEF9D4">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三相交流电压输入</w:t>
            </w:r>
          </w:p>
        </w:tc>
        <w:tc>
          <w:tcPr>
            <w:tcW w:w="0" w:type="auto"/>
            <w:gridSpan w:val="2"/>
            <w:tcBorders>
              <w:top w:val="single" w:color="auto" w:sz="4" w:space="0"/>
              <w:left w:val="nil"/>
              <w:bottom w:val="single" w:color="auto" w:sz="4" w:space="0"/>
              <w:right w:val="single" w:color="auto" w:sz="4" w:space="0"/>
            </w:tcBorders>
            <w:vAlign w:val="center"/>
          </w:tcPr>
          <w:p w14:paraId="17B4E822">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组</w:t>
            </w:r>
          </w:p>
        </w:tc>
        <w:tc>
          <w:tcPr>
            <w:tcW w:w="0" w:type="auto"/>
            <w:vMerge w:val="restart"/>
            <w:tcBorders>
              <w:top w:val="nil"/>
              <w:left w:val="single" w:color="auto" w:sz="4" w:space="0"/>
              <w:bottom w:val="single" w:color="auto" w:sz="4" w:space="0"/>
              <w:right w:val="single" w:color="auto" w:sz="4" w:space="0"/>
            </w:tcBorders>
            <w:vAlign w:val="center"/>
          </w:tcPr>
          <w:p w14:paraId="658BE6D5">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0.50%</w:t>
            </w:r>
          </w:p>
        </w:tc>
        <w:tc>
          <w:tcPr>
            <w:tcW w:w="0" w:type="auto"/>
            <w:vMerge w:val="restart"/>
            <w:tcBorders>
              <w:top w:val="nil"/>
              <w:left w:val="single" w:color="auto" w:sz="4" w:space="0"/>
              <w:bottom w:val="single" w:color="auto" w:sz="4" w:space="0"/>
              <w:right w:val="single" w:color="auto" w:sz="4" w:space="0"/>
            </w:tcBorders>
            <w:vAlign w:val="center"/>
          </w:tcPr>
          <w:p w14:paraId="6E02B107">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4F9A0476">
        <w:tblPrEx>
          <w:tblCellMar>
            <w:top w:w="0" w:type="dxa"/>
            <w:left w:w="108" w:type="dxa"/>
            <w:bottom w:w="0" w:type="dxa"/>
            <w:right w:w="108" w:type="dxa"/>
          </w:tblCellMar>
        </w:tblPrEx>
        <w:trPr>
          <w:cantSplit/>
          <w:trHeight w:val="300" w:hRule="atLeast"/>
        </w:trPr>
        <w:tc>
          <w:tcPr>
            <w:tcW w:w="0" w:type="auto"/>
            <w:vMerge w:val="continue"/>
            <w:tcBorders>
              <w:top w:val="nil"/>
              <w:left w:val="single" w:color="auto" w:sz="4" w:space="0"/>
              <w:bottom w:val="single" w:color="auto" w:sz="4" w:space="0"/>
              <w:right w:val="single" w:color="auto" w:sz="4" w:space="0"/>
            </w:tcBorders>
            <w:vAlign w:val="center"/>
          </w:tcPr>
          <w:p w14:paraId="365F2796">
            <w:pPr>
              <w:widowControl/>
              <w:jc w:val="left"/>
              <w:rPr>
                <w:rFonts w:ascii="宋体" w:hAnsi="宋体" w:cs="宋体"/>
                <w:color w:val="000000" w:themeColor="text1"/>
                <w:szCs w:val="21"/>
                <w:highlight w:val="none"/>
                <w14:textFill>
                  <w14:solidFill>
                    <w14:schemeClr w14:val="tx1"/>
                  </w14:solidFill>
                </w14:textFill>
              </w:rPr>
            </w:pPr>
          </w:p>
        </w:tc>
        <w:tc>
          <w:tcPr>
            <w:tcW w:w="0" w:type="auto"/>
            <w:gridSpan w:val="2"/>
            <w:tcBorders>
              <w:top w:val="single" w:color="auto" w:sz="4" w:space="0"/>
              <w:left w:val="nil"/>
              <w:bottom w:val="single" w:color="auto" w:sz="4" w:space="0"/>
              <w:right w:val="single" w:color="auto" w:sz="4" w:space="0"/>
            </w:tcBorders>
            <w:vAlign w:val="center"/>
          </w:tcPr>
          <w:p w14:paraId="687D109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9~300Vac</w:t>
            </w:r>
            <w:r>
              <w:rPr>
                <w:rFonts w:hint="eastAsia" w:ascii="宋体" w:hAnsi="宋体"/>
                <w:color w:val="000000" w:themeColor="text1"/>
                <w:szCs w:val="21"/>
                <w:highlight w:val="none"/>
                <w14:textFill>
                  <w14:solidFill>
                    <w14:schemeClr w14:val="tx1"/>
                  </w14:solidFill>
                </w14:textFill>
              </w:rPr>
              <w:t>（相电压）</w:t>
            </w:r>
          </w:p>
        </w:tc>
        <w:tc>
          <w:tcPr>
            <w:tcW w:w="0" w:type="auto"/>
            <w:vMerge w:val="continue"/>
            <w:tcBorders>
              <w:top w:val="nil"/>
              <w:left w:val="single" w:color="auto" w:sz="4" w:space="0"/>
              <w:bottom w:val="single" w:color="auto" w:sz="4" w:space="0"/>
              <w:right w:val="single" w:color="auto" w:sz="4" w:space="0"/>
            </w:tcBorders>
            <w:vAlign w:val="center"/>
          </w:tcPr>
          <w:p w14:paraId="6DD8C80B">
            <w:pPr>
              <w:widowControl/>
              <w:jc w:val="left"/>
              <w:rPr>
                <w:color w:val="000000" w:themeColor="text1"/>
                <w:szCs w:val="21"/>
                <w:highlight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14:paraId="1216A997">
            <w:pPr>
              <w:widowControl/>
              <w:jc w:val="left"/>
              <w:rPr>
                <w:color w:val="000000" w:themeColor="text1"/>
                <w:szCs w:val="21"/>
                <w:highlight w:val="none"/>
                <w14:textFill>
                  <w14:solidFill>
                    <w14:schemeClr w14:val="tx1"/>
                  </w14:solidFill>
                </w14:textFill>
              </w:rPr>
            </w:pPr>
          </w:p>
        </w:tc>
      </w:tr>
      <w:tr w14:paraId="34326A44">
        <w:tblPrEx>
          <w:tblCellMar>
            <w:top w:w="0" w:type="dxa"/>
            <w:left w:w="108" w:type="dxa"/>
            <w:bottom w:w="0" w:type="dxa"/>
            <w:right w:w="108" w:type="dxa"/>
          </w:tblCellMar>
        </w:tblPrEx>
        <w:trPr>
          <w:cantSplit/>
          <w:trHeight w:val="300" w:hRule="atLeast"/>
        </w:trPr>
        <w:tc>
          <w:tcPr>
            <w:tcW w:w="0" w:type="auto"/>
            <w:vMerge w:val="continue"/>
            <w:tcBorders>
              <w:top w:val="nil"/>
              <w:left w:val="single" w:color="auto" w:sz="4" w:space="0"/>
              <w:bottom w:val="single" w:color="auto" w:sz="4" w:space="0"/>
              <w:right w:val="single" w:color="auto" w:sz="4" w:space="0"/>
            </w:tcBorders>
            <w:vAlign w:val="center"/>
          </w:tcPr>
          <w:p w14:paraId="0F1B31F2">
            <w:pPr>
              <w:widowControl/>
              <w:jc w:val="left"/>
              <w:rPr>
                <w:rFonts w:ascii="宋体" w:hAnsi="宋体" w:cs="宋体"/>
                <w:color w:val="000000" w:themeColor="text1"/>
                <w:szCs w:val="21"/>
                <w:highlight w:val="none"/>
                <w14:textFill>
                  <w14:solidFill>
                    <w14:schemeClr w14:val="tx1"/>
                  </w14:solidFill>
                </w14:textFill>
              </w:rPr>
            </w:pPr>
          </w:p>
        </w:tc>
        <w:tc>
          <w:tcPr>
            <w:tcW w:w="0" w:type="auto"/>
            <w:gridSpan w:val="2"/>
            <w:tcBorders>
              <w:top w:val="single" w:color="auto" w:sz="4" w:space="0"/>
              <w:left w:val="nil"/>
              <w:bottom w:val="single" w:color="auto" w:sz="4" w:space="0"/>
              <w:right w:val="single" w:color="auto" w:sz="4" w:space="0"/>
            </w:tcBorders>
            <w:vAlign w:val="center"/>
          </w:tcPr>
          <w:p w14:paraId="572FC1E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15~518Vac(</w:t>
            </w:r>
            <w:r>
              <w:rPr>
                <w:rFonts w:hint="eastAsia" w:ascii="宋体" w:hAnsi="宋体"/>
                <w:color w:val="000000" w:themeColor="text1"/>
                <w:szCs w:val="21"/>
                <w:highlight w:val="none"/>
                <w14:textFill>
                  <w14:solidFill>
                    <w14:schemeClr w14:val="tx1"/>
                  </w14:solidFill>
                </w14:textFill>
              </w:rPr>
              <w:t>线电压</w:t>
            </w:r>
            <w:r>
              <w:rPr>
                <w:color w:val="000000" w:themeColor="text1"/>
                <w:szCs w:val="21"/>
                <w:highlight w:val="none"/>
                <w14:textFill>
                  <w14:solidFill>
                    <w14:schemeClr w14:val="tx1"/>
                  </w14:solidFill>
                </w14:textFill>
              </w:rPr>
              <w:t>)</w:t>
            </w:r>
          </w:p>
        </w:tc>
        <w:tc>
          <w:tcPr>
            <w:tcW w:w="0" w:type="auto"/>
            <w:vMerge w:val="continue"/>
            <w:tcBorders>
              <w:top w:val="nil"/>
              <w:left w:val="single" w:color="auto" w:sz="4" w:space="0"/>
              <w:bottom w:val="single" w:color="auto" w:sz="4" w:space="0"/>
              <w:right w:val="single" w:color="auto" w:sz="4" w:space="0"/>
            </w:tcBorders>
            <w:vAlign w:val="center"/>
          </w:tcPr>
          <w:p w14:paraId="602D9D6B">
            <w:pPr>
              <w:widowControl/>
              <w:jc w:val="left"/>
              <w:rPr>
                <w:color w:val="000000" w:themeColor="text1"/>
                <w:szCs w:val="21"/>
                <w:highlight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14:paraId="5E98B000">
            <w:pPr>
              <w:widowControl/>
              <w:jc w:val="left"/>
              <w:rPr>
                <w:color w:val="000000" w:themeColor="text1"/>
                <w:szCs w:val="21"/>
                <w:highlight w:val="none"/>
                <w14:textFill>
                  <w14:solidFill>
                    <w14:schemeClr w14:val="tx1"/>
                  </w14:solidFill>
                </w14:textFill>
              </w:rPr>
            </w:pPr>
          </w:p>
        </w:tc>
      </w:tr>
      <w:tr w14:paraId="420D2687">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6F477BA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直流母线电压及电池电压输入</w:t>
            </w:r>
          </w:p>
        </w:tc>
        <w:tc>
          <w:tcPr>
            <w:tcW w:w="0" w:type="auto"/>
            <w:gridSpan w:val="2"/>
            <w:tcBorders>
              <w:top w:val="single" w:color="auto" w:sz="4" w:space="0"/>
              <w:left w:val="nil"/>
              <w:bottom w:val="single" w:color="auto" w:sz="4" w:space="0"/>
              <w:right w:val="single" w:color="auto" w:sz="4" w:space="0"/>
            </w:tcBorders>
            <w:vAlign w:val="center"/>
          </w:tcPr>
          <w:p w14:paraId="413DFEF8">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路，</w:t>
            </w:r>
            <w:r>
              <w:rPr>
                <w:color w:val="000000" w:themeColor="text1"/>
                <w:szCs w:val="21"/>
                <w:highlight w:val="none"/>
                <w14:textFill>
                  <w14:solidFill>
                    <w14:schemeClr w14:val="tx1"/>
                  </w14:solidFill>
                </w14:textFill>
              </w:rPr>
              <w:t>0~300Vdc</w:t>
            </w:r>
          </w:p>
        </w:tc>
        <w:tc>
          <w:tcPr>
            <w:tcW w:w="0" w:type="auto"/>
            <w:tcBorders>
              <w:top w:val="nil"/>
              <w:left w:val="nil"/>
              <w:bottom w:val="single" w:color="auto" w:sz="4" w:space="0"/>
              <w:right w:val="single" w:color="auto" w:sz="4" w:space="0"/>
            </w:tcBorders>
            <w:vAlign w:val="center"/>
          </w:tcPr>
          <w:p w14:paraId="65E89C21">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0.20%</w:t>
            </w:r>
          </w:p>
        </w:tc>
        <w:tc>
          <w:tcPr>
            <w:tcW w:w="0" w:type="auto"/>
            <w:tcBorders>
              <w:top w:val="nil"/>
              <w:left w:val="nil"/>
              <w:bottom w:val="single" w:color="auto" w:sz="4" w:space="0"/>
              <w:right w:val="single" w:color="auto" w:sz="4" w:space="0"/>
            </w:tcBorders>
            <w:vAlign w:val="center"/>
          </w:tcPr>
          <w:p w14:paraId="4972CB42">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508E08E6">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3C5BD8CA">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直流电流输入</w:t>
            </w:r>
          </w:p>
        </w:tc>
        <w:tc>
          <w:tcPr>
            <w:tcW w:w="0" w:type="auto"/>
            <w:gridSpan w:val="2"/>
            <w:tcBorders>
              <w:top w:val="single" w:color="auto" w:sz="4" w:space="0"/>
              <w:left w:val="nil"/>
              <w:bottom w:val="single" w:color="auto" w:sz="4" w:space="0"/>
              <w:right w:val="single" w:color="auto" w:sz="4" w:space="0"/>
            </w:tcBorders>
            <w:vAlign w:val="center"/>
          </w:tcPr>
          <w:p w14:paraId="6460F573">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路，</w:t>
            </w:r>
            <w:r>
              <w:rPr>
                <w:color w:val="000000" w:themeColor="text1"/>
                <w:szCs w:val="21"/>
                <w:highlight w:val="none"/>
                <w14:textFill>
                  <w14:solidFill>
                    <w14:schemeClr w14:val="tx1"/>
                  </w14:solidFill>
                </w14:textFill>
              </w:rPr>
              <w:t>0~2000A</w:t>
            </w:r>
            <w:r>
              <w:rPr>
                <w:rFonts w:hint="eastAsia" w:ascii="宋体" w:hAnsi="宋体"/>
                <w:color w:val="000000" w:themeColor="text1"/>
                <w:szCs w:val="21"/>
                <w:highlight w:val="none"/>
                <w14:textFill>
                  <w14:solidFill>
                    <w14:schemeClr w14:val="tx1"/>
                  </w14:solidFill>
                </w14:textFill>
              </w:rPr>
              <w:t>（量程可设置）</w:t>
            </w:r>
          </w:p>
        </w:tc>
        <w:tc>
          <w:tcPr>
            <w:tcW w:w="0" w:type="auto"/>
            <w:tcBorders>
              <w:top w:val="nil"/>
              <w:left w:val="nil"/>
              <w:bottom w:val="single" w:color="auto" w:sz="4" w:space="0"/>
              <w:right w:val="single" w:color="auto" w:sz="4" w:space="0"/>
            </w:tcBorders>
            <w:vAlign w:val="center"/>
          </w:tcPr>
          <w:p w14:paraId="15DD2A3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w:t>
            </w:r>
          </w:p>
        </w:tc>
        <w:tc>
          <w:tcPr>
            <w:tcW w:w="0" w:type="auto"/>
            <w:tcBorders>
              <w:top w:val="nil"/>
              <w:left w:val="nil"/>
              <w:bottom w:val="single" w:color="auto" w:sz="4" w:space="0"/>
              <w:right w:val="single" w:color="auto" w:sz="4" w:space="0"/>
            </w:tcBorders>
            <w:vAlign w:val="center"/>
          </w:tcPr>
          <w:p w14:paraId="3A591A2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需外接霍尔电流传感器</w:t>
            </w:r>
          </w:p>
        </w:tc>
      </w:tr>
      <w:tr w14:paraId="178785F9">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3A33726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开关量检测输入</w:t>
            </w:r>
          </w:p>
        </w:tc>
        <w:tc>
          <w:tcPr>
            <w:tcW w:w="0" w:type="auto"/>
            <w:gridSpan w:val="2"/>
            <w:tcBorders>
              <w:top w:val="single" w:color="auto" w:sz="4" w:space="0"/>
              <w:left w:val="nil"/>
              <w:bottom w:val="single" w:color="auto" w:sz="4" w:space="0"/>
              <w:right w:val="single" w:color="auto" w:sz="4" w:space="0"/>
            </w:tcBorders>
            <w:vAlign w:val="center"/>
          </w:tcPr>
          <w:p w14:paraId="4BEB43B3">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24</w:t>
            </w:r>
            <w:r>
              <w:rPr>
                <w:rFonts w:hint="eastAsia" w:ascii="宋体" w:hAnsi="宋体"/>
                <w:color w:val="000000" w:themeColor="text1"/>
                <w:szCs w:val="21"/>
                <w:highlight w:val="none"/>
                <w14:textFill>
                  <w14:solidFill>
                    <w14:schemeClr w14:val="tx1"/>
                  </w14:solidFill>
                </w14:textFill>
              </w:rPr>
              <w:t>路，输入类型为无源干接点</w:t>
            </w:r>
          </w:p>
        </w:tc>
        <w:tc>
          <w:tcPr>
            <w:tcW w:w="0" w:type="auto"/>
            <w:tcBorders>
              <w:top w:val="nil"/>
              <w:left w:val="nil"/>
              <w:bottom w:val="single" w:color="auto" w:sz="4" w:space="0"/>
              <w:right w:val="single" w:color="auto" w:sz="4" w:space="0"/>
            </w:tcBorders>
            <w:vAlign w:val="center"/>
          </w:tcPr>
          <w:p w14:paraId="641C12D2">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0F77023D">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2A00997F">
        <w:tblPrEx>
          <w:tblCellMar>
            <w:top w:w="0" w:type="dxa"/>
            <w:left w:w="108" w:type="dxa"/>
            <w:bottom w:w="0" w:type="dxa"/>
            <w:right w:w="108" w:type="dxa"/>
          </w:tblCellMar>
        </w:tblPrEx>
        <w:trPr>
          <w:cantSplit/>
          <w:trHeight w:val="300" w:hRule="atLeast"/>
        </w:trPr>
        <w:tc>
          <w:tcPr>
            <w:tcW w:w="0" w:type="auto"/>
            <w:vMerge w:val="restart"/>
            <w:tcBorders>
              <w:top w:val="nil"/>
              <w:left w:val="single" w:color="auto" w:sz="4" w:space="0"/>
              <w:bottom w:val="single" w:color="auto" w:sz="4" w:space="0"/>
              <w:right w:val="single" w:color="auto" w:sz="4" w:space="0"/>
            </w:tcBorders>
            <w:vAlign w:val="center"/>
          </w:tcPr>
          <w:p w14:paraId="1AA36AFD">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环境温度检测</w:t>
            </w:r>
          </w:p>
        </w:tc>
        <w:tc>
          <w:tcPr>
            <w:tcW w:w="0" w:type="auto"/>
            <w:gridSpan w:val="2"/>
            <w:tcBorders>
              <w:top w:val="single" w:color="auto" w:sz="4" w:space="0"/>
              <w:left w:val="nil"/>
              <w:bottom w:val="single" w:color="auto" w:sz="4" w:space="0"/>
              <w:right w:val="single" w:color="auto" w:sz="4" w:space="0"/>
            </w:tcBorders>
            <w:vAlign w:val="center"/>
          </w:tcPr>
          <w:p w14:paraId="47CA012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路，</w:t>
            </w:r>
            <w:r>
              <w:rPr>
                <w:color w:val="000000" w:themeColor="text1"/>
                <w:szCs w:val="21"/>
                <w:highlight w:val="none"/>
                <w14:textFill>
                  <w14:solidFill>
                    <w14:schemeClr w14:val="tx1"/>
                  </w14:solidFill>
                </w14:textFill>
              </w:rPr>
              <w:t>0~100</w:t>
            </w:r>
            <w:r>
              <w:rPr>
                <w:rFonts w:hint="eastAsia" w:ascii="宋体" w:hAnsi="宋体"/>
                <w:color w:val="000000" w:themeColor="text1"/>
                <w:szCs w:val="21"/>
                <w:highlight w:val="none"/>
                <w14:textFill>
                  <w14:solidFill>
                    <w14:schemeClr w14:val="tx1"/>
                  </w14:solidFill>
                </w14:textFill>
              </w:rPr>
              <w:t>℃（标配）；</w:t>
            </w:r>
          </w:p>
        </w:tc>
        <w:tc>
          <w:tcPr>
            <w:tcW w:w="0" w:type="auto"/>
            <w:vMerge w:val="restart"/>
            <w:tcBorders>
              <w:top w:val="nil"/>
              <w:left w:val="single" w:color="auto" w:sz="4" w:space="0"/>
              <w:bottom w:val="single" w:color="auto" w:sz="4" w:space="0"/>
              <w:right w:val="single" w:color="auto" w:sz="4" w:space="0"/>
            </w:tcBorders>
            <w:vAlign w:val="center"/>
          </w:tcPr>
          <w:p w14:paraId="7E800C37">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w:t>
            </w:r>
          </w:p>
        </w:tc>
        <w:tc>
          <w:tcPr>
            <w:tcW w:w="0" w:type="auto"/>
            <w:tcBorders>
              <w:top w:val="nil"/>
              <w:left w:val="nil"/>
              <w:bottom w:val="single" w:color="auto" w:sz="4" w:space="0"/>
              <w:right w:val="single" w:color="auto" w:sz="4" w:space="0"/>
            </w:tcBorders>
            <w:vAlign w:val="center"/>
          </w:tcPr>
          <w:p w14:paraId="180CBFF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配</w:t>
            </w:r>
            <w:r>
              <w:rPr>
                <w:color w:val="000000" w:themeColor="text1"/>
                <w:szCs w:val="21"/>
                <w:highlight w:val="none"/>
                <w14:textFill>
                  <w14:solidFill>
                    <w14:schemeClr w14:val="tx1"/>
                  </w14:solidFill>
                </w14:textFill>
              </w:rPr>
              <w:t>LM35</w:t>
            </w:r>
            <w:r>
              <w:rPr>
                <w:rFonts w:hint="eastAsia" w:ascii="宋体" w:hAnsi="宋体" w:cs="宋体"/>
                <w:color w:val="000000" w:themeColor="text1"/>
                <w:szCs w:val="21"/>
                <w:highlight w:val="none"/>
                <w14:textFill>
                  <w14:solidFill>
                    <w14:schemeClr w14:val="tx1"/>
                  </w14:solidFill>
                </w14:textFill>
              </w:rPr>
              <w:t>探头</w:t>
            </w:r>
          </w:p>
        </w:tc>
      </w:tr>
      <w:tr w14:paraId="31D17E4A">
        <w:tblPrEx>
          <w:tblCellMar>
            <w:top w:w="0" w:type="dxa"/>
            <w:left w:w="108" w:type="dxa"/>
            <w:bottom w:w="0" w:type="dxa"/>
            <w:right w:w="108" w:type="dxa"/>
          </w:tblCellMar>
        </w:tblPrEx>
        <w:trPr>
          <w:cantSplit/>
          <w:trHeight w:val="300" w:hRule="atLeast"/>
        </w:trPr>
        <w:tc>
          <w:tcPr>
            <w:tcW w:w="0" w:type="auto"/>
            <w:vMerge w:val="continue"/>
            <w:tcBorders>
              <w:top w:val="nil"/>
              <w:left w:val="single" w:color="auto" w:sz="4" w:space="0"/>
              <w:bottom w:val="single" w:color="auto" w:sz="4" w:space="0"/>
              <w:right w:val="single" w:color="auto" w:sz="4" w:space="0"/>
            </w:tcBorders>
            <w:vAlign w:val="center"/>
          </w:tcPr>
          <w:p w14:paraId="73FE63DA">
            <w:pPr>
              <w:widowControl/>
              <w:jc w:val="left"/>
              <w:rPr>
                <w:rFonts w:ascii="宋体" w:hAnsi="宋体" w:cs="宋体"/>
                <w:color w:val="000000" w:themeColor="text1"/>
                <w:szCs w:val="21"/>
                <w:highlight w:val="none"/>
                <w14:textFill>
                  <w14:solidFill>
                    <w14:schemeClr w14:val="tx1"/>
                  </w14:solidFill>
                </w14:textFill>
              </w:rPr>
            </w:pPr>
          </w:p>
        </w:tc>
        <w:tc>
          <w:tcPr>
            <w:tcW w:w="0" w:type="auto"/>
            <w:gridSpan w:val="2"/>
            <w:tcBorders>
              <w:top w:val="single" w:color="auto" w:sz="4" w:space="0"/>
              <w:left w:val="nil"/>
              <w:bottom w:val="single" w:color="auto" w:sz="4" w:space="0"/>
              <w:right w:val="single" w:color="auto" w:sz="4" w:space="0"/>
            </w:tcBorders>
            <w:vAlign w:val="center"/>
          </w:tcPr>
          <w:p w14:paraId="1061D91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-25~100</w:t>
            </w:r>
            <w:r>
              <w:rPr>
                <w:rFonts w:hint="eastAsia" w:ascii="宋体" w:hAnsi="宋体"/>
                <w:color w:val="000000" w:themeColor="text1"/>
                <w:szCs w:val="21"/>
                <w:highlight w:val="none"/>
                <w14:textFill>
                  <w14:solidFill>
                    <w14:schemeClr w14:val="tx1"/>
                  </w14:solidFill>
                </w14:textFill>
              </w:rPr>
              <w:t>℃（可订制）</w:t>
            </w:r>
          </w:p>
        </w:tc>
        <w:tc>
          <w:tcPr>
            <w:tcW w:w="0" w:type="auto"/>
            <w:vMerge w:val="continue"/>
            <w:tcBorders>
              <w:top w:val="nil"/>
              <w:left w:val="single" w:color="auto" w:sz="4" w:space="0"/>
              <w:bottom w:val="single" w:color="auto" w:sz="4" w:space="0"/>
              <w:right w:val="single" w:color="auto" w:sz="4" w:space="0"/>
            </w:tcBorders>
            <w:vAlign w:val="center"/>
          </w:tcPr>
          <w:p w14:paraId="48F4233C">
            <w:pPr>
              <w:widowControl/>
              <w:jc w:val="left"/>
              <w:rPr>
                <w:rFonts w:ascii="宋体" w:hAnsi="宋体" w:cs="宋体"/>
                <w:color w:val="000000" w:themeColor="text1"/>
                <w:szCs w:val="21"/>
                <w:highlight w:val="none"/>
                <w14:textFill>
                  <w14:solidFill>
                    <w14:schemeClr w14:val="tx1"/>
                  </w14:solidFill>
                </w14:textFill>
              </w:rPr>
            </w:pPr>
          </w:p>
        </w:tc>
        <w:tc>
          <w:tcPr>
            <w:tcW w:w="0" w:type="auto"/>
            <w:tcBorders>
              <w:top w:val="nil"/>
              <w:left w:val="nil"/>
              <w:bottom w:val="single" w:color="auto" w:sz="4" w:space="0"/>
              <w:right w:val="single" w:color="auto" w:sz="4" w:space="0"/>
            </w:tcBorders>
            <w:vAlign w:val="center"/>
          </w:tcPr>
          <w:p w14:paraId="2927D4A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配</w:t>
            </w:r>
            <w:r>
              <w:rPr>
                <w:color w:val="000000" w:themeColor="text1"/>
                <w:szCs w:val="21"/>
                <w:highlight w:val="none"/>
                <w14:textFill>
                  <w14:solidFill>
                    <w14:schemeClr w14:val="tx1"/>
                  </w14:solidFill>
                </w14:textFill>
              </w:rPr>
              <w:t>LM50</w:t>
            </w:r>
            <w:r>
              <w:rPr>
                <w:rFonts w:hint="eastAsia" w:ascii="宋体" w:hAnsi="宋体" w:cs="宋体"/>
                <w:color w:val="000000" w:themeColor="text1"/>
                <w:szCs w:val="21"/>
                <w:highlight w:val="none"/>
                <w14:textFill>
                  <w14:solidFill>
                    <w14:schemeClr w14:val="tx1"/>
                  </w14:solidFill>
                </w14:textFill>
              </w:rPr>
              <w:t>探头</w:t>
            </w:r>
          </w:p>
        </w:tc>
      </w:tr>
      <w:tr w14:paraId="56C3D1C5">
        <w:tblPrEx>
          <w:tblCellMar>
            <w:top w:w="0" w:type="dxa"/>
            <w:left w:w="108" w:type="dxa"/>
            <w:bottom w:w="0" w:type="dxa"/>
            <w:right w:w="108" w:type="dxa"/>
          </w:tblCellMar>
        </w:tblPrEx>
        <w:trPr>
          <w:cantSplit/>
          <w:trHeight w:val="300" w:hRule="atLeast"/>
        </w:trPr>
        <w:tc>
          <w:tcPr>
            <w:tcW w:w="0" w:type="auto"/>
            <w:vMerge w:val="restart"/>
            <w:tcBorders>
              <w:top w:val="nil"/>
              <w:left w:val="single" w:color="auto" w:sz="4" w:space="0"/>
              <w:bottom w:val="single" w:color="auto" w:sz="4" w:space="0"/>
              <w:right w:val="single" w:color="auto" w:sz="4" w:space="0"/>
            </w:tcBorders>
            <w:vAlign w:val="center"/>
          </w:tcPr>
          <w:p w14:paraId="0EFA64B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干接点输出</w:t>
            </w:r>
          </w:p>
        </w:tc>
        <w:tc>
          <w:tcPr>
            <w:tcW w:w="0" w:type="auto"/>
            <w:tcBorders>
              <w:top w:val="nil"/>
              <w:left w:val="nil"/>
              <w:bottom w:val="single" w:color="auto" w:sz="4" w:space="0"/>
              <w:right w:val="single" w:color="auto" w:sz="4" w:space="0"/>
            </w:tcBorders>
            <w:vAlign w:val="center"/>
          </w:tcPr>
          <w:p w14:paraId="748DFDF6">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路</w:t>
            </w:r>
          </w:p>
        </w:tc>
        <w:tc>
          <w:tcPr>
            <w:tcW w:w="0" w:type="auto"/>
            <w:tcBorders>
              <w:top w:val="nil"/>
              <w:left w:val="nil"/>
              <w:bottom w:val="single" w:color="auto" w:sz="4" w:space="0"/>
              <w:right w:val="single" w:color="auto" w:sz="4" w:space="0"/>
            </w:tcBorders>
            <w:vAlign w:val="center"/>
          </w:tcPr>
          <w:p w14:paraId="599F42DF">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路</w:t>
            </w:r>
          </w:p>
        </w:tc>
        <w:tc>
          <w:tcPr>
            <w:tcW w:w="0" w:type="auto"/>
            <w:vMerge w:val="restart"/>
            <w:tcBorders>
              <w:top w:val="nil"/>
              <w:left w:val="single" w:color="auto" w:sz="4" w:space="0"/>
              <w:bottom w:val="single" w:color="auto" w:sz="4" w:space="0"/>
              <w:right w:val="single" w:color="auto" w:sz="4" w:space="0"/>
            </w:tcBorders>
            <w:vAlign w:val="center"/>
          </w:tcPr>
          <w:p w14:paraId="1E020AF7">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vMerge w:val="restart"/>
            <w:tcBorders>
              <w:top w:val="nil"/>
              <w:left w:val="single" w:color="auto" w:sz="4" w:space="0"/>
              <w:bottom w:val="single" w:color="auto" w:sz="4" w:space="0"/>
              <w:right w:val="single" w:color="auto" w:sz="4" w:space="0"/>
            </w:tcBorders>
            <w:vAlign w:val="center"/>
          </w:tcPr>
          <w:p w14:paraId="03D02328">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6FDFE673">
        <w:tblPrEx>
          <w:tblCellMar>
            <w:top w:w="0" w:type="dxa"/>
            <w:left w:w="108" w:type="dxa"/>
            <w:bottom w:w="0" w:type="dxa"/>
            <w:right w:w="108" w:type="dxa"/>
          </w:tblCellMar>
        </w:tblPrEx>
        <w:trPr>
          <w:cantSplit/>
          <w:trHeight w:val="300" w:hRule="atLeast"/>
        </w:trPr>
        <w:tc>
          <w:tcPr>
            <w:tcW w:w="0" w:type="auto"/>
            <w:vMerge w:val="continue"/>
            <w:tcBorders>
              <w:top w:val="nil"/>
              <w:left w:val="single" w:color="auto" w:sz="4" w:space="0"/>
              <w:bottom w:val="single" w:color="auto" w:sz="4" w:space="0"/>
              <w:right w:val="single" w:color="auto" w:sz="4" w:space="0"/>
            </w:tcBorders>
            <w:vAlign w:val="center"/>
          </w:tcPr>
          <w:p w14:paraId="19E8E877">
            <w:pPr>
              <w:widowControl/>
              <w:jc w:val="left"/>
              <w:rPr>
                <w:rFonts w:ascii="宋体" w:hAnsi="宋体" w:cs="宋体"/>
                <w:color w:val="000000" w:themeColor="text1"/>
                <w:szCs w:val="21"/>
                <w:highlight w:val="none"/>
                <w14:textFill>
                  <w14:solidFill>
                    <w14:schemeClr w14:val="tx1"/>
                  </w14:solidFill>
                </w14:textFill>
              </w:rPr>
            </w:pPr>
          </w:p>
        </w:tc>
        <w:tc>
          <w:tcPr>
            <w:tcW w:w="0" w:type="auto"/>
            <w:tcBorders>
              <w:top w:val="nil"/>
              <w:left w:val="nil"/>
              <w:bottom w:val="single" w:color="auto" w:sz="4" w:space="0"/>
              <w:right w:val="single" w:color="auto" w:sz="4" w:space="0"/>
            </w:tcBorders>
            <w:vAlign w:val="center"/>
          </w:tcPr>
          <w:p w14:paraId="130D3F5F">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250VAC/3A/750VA</w:t>
            </w:r>
          </w:p>
        </w:tc>
        <w:tc>
          <w:tcPr>
            <w:tcW w:w="0" w:type="auto"/>
            <w:tcBorders>
              <w:top w:val="nil"/>
              <w:left w:val="nil"/>
              <w:bottom w:val="single" w:color="auto" w:sz="4" w:space="0"/>
              <w:right w:val="single" w:color="auto" w:sz="4" w:space="0"/>
            </w:tcBorders>
            <w:vAlign w:val="center"/>
          </w:tcPr>
          <w:p w14:paraId="04C3A6F8">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250VAC/3A/750VA</w:t>
            </w:r>
          </w:p>
        </w:tc>
        <w:tc>
          <w:tcPr>
            <w:tcW w:w="0" w:type="auto"/>
            <w:vMerge w:val="continue"/>
            <w:tcBorders>
              <w:top w:val="nil"/>
              <w:left w:val="single" w:color="auto" w:sz="4" w:space="0"/>
              <w:bottom w:val="single" w:color="auto" w:sz="4" w:space="0"/>
              <w:right w:val="single" w:color="auto" w:sz="4" w:space="0"/>
            </w:tcBorders>
            <w:vAlign w:val="center"/>
          </w:tcPr>
          <w:p w14:paraId="127F0845">
            <w:pPr>
              <w:widowControl/>
              <w:jc w:val="left"/>
              <w:rPr>
                <w:color w:val="000000" w:themeColor="text1"/>
                <w:szCs w:val="21"/>
                <w:highlight w:val="none"/>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14:paraId="4CC2AD97">
            <w:pPr>
              <w:widowControl/>
              <w:jc w:val="left"/>
              <w:rPr>
                <w:color w:val="000000" w:themeColor="text1"/>
                <w:szCs w:val="21"/>
                <w:highlight w:val="none"/>
                <w14:textFill>
                  <w14:solidFill>
                    <w14:schemeClr w14:val="tx1"/>
                  </w14:solidFill>
                </w14:textFill>
              </w:rPr>
            </w:pPr>
          </w:p>
        </w:tc>
      </w:tr>
      <w:tr w14:paraId="7DE56E3E">
        <w:tblPrEx>
          <w:tblCellMar>
            <w:top w:w="0" w:type="dxa"/>
            <w:left w:w="108" w:type="dxa"/>
            <w:bottom w:w="0" w:type="dxa"/>
            <w:right w:w="108" w:type="dxa"/>
          </w:tblCellMar>
        </w:tblPrEx>
        <w:trPr>
          <w:cantSplit/>
          <w:trHeight w:val="300" w:hRule="atLeast"/>
        </w:trPr>
        <w:tc>
          <w:tcPr>
            <w:tcW w:w="0" w:type="auto"/>
            <w:tcBorders>
              <w:top w:val="single" w:color="auto" w:sz="4" w:space="0"/>
              <w:left w:val="single" w:color="auto" w:sz="4" w:space="0"/>
              <w:bottom w:val="single" w:color="auto" w:sz="4" w:space="0"/>
              <w:right w:val="single" w:color="auto" w:sz="4" w:space="0"/>
            </w:tcBorders>
            <w:vAlign w:val="center"/>
          </w:tcPr>
          <w:p w14:paraId="5353065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母线对地绝缘电阻测量范围</w:t>
            </w:r>
          </w:p>
        </w:tc>
        <w:tc>
          <w:tcPr>
            <w:tcW w:w="0" w:type="auto"/>
            <w:gridSpan w:val="2"/>
            <w:tcBorders>
              <w:top w:val="single" w:color="auto" w:sz="4" w:space="0"/>
              <w:left w:val="nil"/>
              <w:bottom w:val="single" w:color="auto" w:sz="4" w:space="0"/>
              <w:right w:val="single" w:color="auto" w:sz="4" w:space="0"/>
            </w:tcBorders>
            <w:vAlign w:val="center"/>
          </w:tcPr>
          <w:p w14:paraId="3B9B621E">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0-50K</w:t>
            </w:r>
            <w:r>
              <w:rPr>
                <w:rFonts w:hint="eastAsia" w:ascii="宋体" w:hAnsi="宋体"/>
                <w:color w:val="000000" w:themeColor="text1"/>
                <w:szCs w:val="21"/>
                <w:highlight w:val="none"/>
                <w14:textFill>
                  <w14:solidFill>
                    <w14:schemeClr w14:val="tx1"/>
                  </w14:solidFill>
                </w14:textFill>
              </w:rPr>
              <w:t>Ω</w:t>
            </w:r>
          </w:p>
        </w:tc>
        <w:tc>
          <w:tcPr>
            <w:tcW w:w="0" w:type="auto"/>
            <w:tcBorders>
              <w:top w:val="single" w:color="auto" w:sz="4" w:space="0"/>
              <w:left w:val="nil"/>
              <w:bottom w:val="single" w:color="auto" w:sz="4" w:space="0"/>
              <w:right w:val="single" w:color="auto" w:sz="4" w:space="0"/>
            </w:tcBorders>
            <w:vAlign w:val="center"/>
          </w:tcPr>
          <w:p w14:paraId="4CDCD673">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w:t>
            </w:r>
          </w:p>
        </w:tc>
        <w:tc>
          <w:tcPr>
            <w:tcW w:w="0" w:type="auto"/>
            <w:tcBorders>
              <w:top w:val="single" w:color="auto" w:sz="4" w:space="0"/>
              <w:left w:val="nil"/>
              <w:bottom w:val="single" w:color="auto" w:sz="4" w:space="0"/>
              <w:right w:val="single" w:color="auto" w:sz="4" w:space="0"/>
            </w:tcBorders>
            <w:vAlign w:val="center"/>
          </w:tcPr>
          <w:p w14:paraId="0282696A">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3FC5EC2F">
        <w:tblPrEx>
          <w:tblCellMar>
            <w:top w:w="0" w:type="dxa"/>
            <w:left w:w="108" w:type="dxa"/>
            <w:bottom w:w="0" w:type="dxa"/>
            <w:right w:w="108" w:type="dxa"/>
          </w:tblCellMar>
        </w:tblPrEx>
        <w:trPr>
          <w:cantSplit/>
          <w:trHeight w:val="300" w:hRule="atLeast"/>
        </w:trPr>
        <w:tc>
          <w:tcPr>
            <w:tcW w:w="0" w:type="auto"/>
            <w:tcBorders>
              <w:top w:val="single" w:color="auto" w:sz="4" w:space="0"/>
              <w:left w:val="single" w:color="auto" w:sz="4" w:space="0"/>
              <w:bottom w:val="single" w:color="auto" w:sz="4" w:space="0"/>
              <w:right w:val="single" w:color="auto" w:sz="4" w:space="0"/>
            </w:tcBorders>
            <w:vAlign w:val="center"/>
          </w:tcPr>
          <w:p w14:paraId="1C2505B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支路对地绝缘电阻测量范围</w:t>
            </w:r>
          </w:p>
        </w:tc>
        <w:tc>
          <w:tcPr>
            <w:tcW w:w="0" w:type="auto"/>
            <w:gridSpan w:val="2"/>
            <w:tcBorders>
              <w:top w:val="single" w:color="auto" w:sz="4" w:space="0"/>
              <w:left w:val="nil"/>
              <w:bottom w:val="single" w:color="auto" w:sz="4" w:space="0"/>
              <w:right w:val="single" w:color="auto" w:sz="4" w:space="0"/>
            </w:tcBorders>
            <w:vAlign w:val="center"/>
          </w:tcPr>
          <w:p w14:paraId="1583820E">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0-50K</w:t>
            </w:r>
            <w:r>
              <w:rPr>
                <w:rFonts w:hint="eastAsia" w:ascii="宋体" w:hAnsi="宋体"/>
                <w:color w:val="000000" w:themeColor="text1"/>
                <w:szCs w:val="21"/>
                <w:highlight w:val="none"/>
                <w14:textFill>
                  <w14:solidFill>
                    <w14:schemeClr w14:val="tx1"/>
                  </w14:solidFill>
                </w14:textFill>
              </w:rPr>
              <w:t>Ω</w:t>
            </w:r>
          </w:p>
        </w:tc>
        <w:tc>
          <w:tcPr>
            <w:tcW w:w="0" w:type="auto"/>
            <w:tcBorders>
              <w:top w:val="single" w:color="auto" w:sz="4" w:space="0"/>
              <w:left w:val="nil"/>
              <w:bottom w:val="single" w:color="auto" w:sz="4" w:space="0"/>
              <w:right w:val="single" w:color="auto" w:sz="4" w:space="0"/>
            </w:tcBorders>
            <w:vAlign w:val="center"/>
          </w:tcPr>
          <w:p w14:paraId="7C2B2BBF">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w:t>
            </w:r>
          </w:p>
        </w:tc>
        <w:tc>
          <w:tcPr>
            <w:tcW w:w="0" w:type="auto"/>
            <w:tcBorders>
              <w:top w:val="single" w:color="auto" w:sz="4" w:space="0"/>
              <w:left w:val="nil"/>
              <w:bottom w:val="single" w:color="auto" w:sz="4" w:space="0"/>
              <w:right w:val="single" w:color="auto" w:sz="4" w:space="0"/>
            </w:tcBorders>
            <w:vAlign w:val="center"/>
          </w:tcPr>
          <w:p w14:paraId="0133012C">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40324A7D">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3EC07F52">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绝缘电阻报警阀值</w:t>
            </w:r>
          </w:p>
        </w:tc>
        <w:tc>
          <w:tcPr>
            <w:tcW w:w="0" w:type="auto"/>
            <w:gridSpan w:val="2"/>
            <w:tcBorders>
              <w:top w:val="single" w:color="auto" w:sz="4" w:space="0"/>
              <w:left w:val="nil"/>
              <w:bottom w:val="single" w:color="auto" w:sz="4" w:space="0"/>
              <w:right w:val="single" w:color="auto" w:sz="4" w:space="0"/>
            </w:tcBorders>
            <w:vAlign w:val="center"/>
          </w:tcPr>
          <w:p w14:paraId="0AAEB0DB">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5-50K</w:t>
            </w:r>
            <w:r>
              <w:rPr>
                <w:rFonts w:hint="eastAsia" w:ascii="宋体" w:hAnsi="宋体"/>
                <w:color w:val="000000" w:themeColor="text1"/>
                <w:szCs w:val="21"/>
                <w:highlight w:val="none"/>
                <w14:textFill>
                  <w14:solidFill>
                    <w14:schemeClr w14:val="tx1"/>
                  </w14:solidFill>
                </w14:textFill>
              </w:rPr>
              <w:t>Ω</w:t>
            </w:r>
            <w:r>
              <w:rPr>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可设定</w:t>
            </w:r>
            <w:r>
              <w:rPr>
                <w:color w:val="000000" w:themeColor="text1"/>
                <w:szCs w:val="21"/>
                <w:highlight w:val="none"/>
                <w14:textFill>
                  <w14:solidFill>
                    <w14:schemeClr w14:val="tx1"/>
                  </w14:solidFill>
                </w14:textFill>
              </w:rPr>
              <w:t>)</w:t>
            </w:r>
          </w:p>
        </w:tc>
        <w:tc>
          <w:tcPr>
            <w:tcW w:w="0" w:type="auto"/>
            <w:tcBorders>
              <w:top w:val="nil"/>
              <w:left w:val="nil"/>
              <w:bottom w:val="single" w:color="auto" w:sz="4" w:space="0"/>
              <w:right w:val="single" w:color="auto" w:sz="4" w:space="0"/>
            </w:tcBorders>
            <w:vAlign w:val="center"/>
          </w:tcPr>
          <w:p w14:paraId="3D813DA1">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15768062">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默认为</w:t>
            </w:r>
            <w:r>
              <w:rPr>
                <w:color w:val="000000" w:themeColor="text1"/>
                <w:szCs w:val="21"/>
                <w:highlight w:val="none"/>
                <w14:textFill>
                  <w14:solidFill>
                    <w14:schemeClr w14:val="tx1"/>
                  </w14:solidFill>
                </w14:textFill>
              </w:rPr>
              <w:t>20K</w:t>
            </w:r>
            <w:r>
              <w:rPr>
                <w:rFonts w:hint="eastAsia" w:ascii="宋体" w:hAnsi="宋体" w:cs="宋体"/>
                <w:color w:val="000000" w:themeColor="text1"/>
                <w:szCs w:val="21"/>
                <w:highlight w:val="none"/>
                <w14:textFill>
                  <w14:solidFill>
                    <w14:schemeClr w14:val="tx1"/>
                  </w14:solidFill>
                </w14:textFill>
              </w:rPr>
              <w:t>Ω</w:t>
            </w:r>
          </w:p>
        </w:tc>
      </w:tr>
      <w:tr w14:paraId="4A813533">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63EB3E00">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RS485</w:t>
            </w:r>
            <w:r>
              <w:rPr>
                <w:rFonts w:hint="eastAsia" w:ascii="宋体" w:hAnsi="宋体"/>
                <w:color w:val="000000" w:themeColor="text1"/>
                <w:szCs w:val="21"/>
                <w:highlight w:val="none"/>
                <w14:textFill>
                  <w14:solidFill>
                    <w14:schemeClr w14:val="tx1"/>
                  </w14:solidFill>
                </w14:textFill>
              </w:rPr>
              <w:t>通讯接口</w:t>
            </w:r>
          </w:p>
        </w:tc>
        <w:tc>
          <w:tcPr>
            <w:tcW w:w="0" w:type="auto"/>
            <w:gridSpan w:val="2"/>
            <w:tcBorders>
              <w:top w:val="single" w:color="auto" w:sz="4" w:space="0"/>
              <w:left w:val="nil"/>
              <w:bottom w:val="single" w:color="auto" w:sz="4" w:space="0"/>
              <w:right w:val="single" w:color="auto" w:sz="4" w:space="0"/>
            </w:tcBorders>
            <w:vAlign w:val="center"/>
          </w:tcPr>
          <w:p w14:paraId="614EC581">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路，</w:t>
            </w:r>
            <w:r>
              <w:rPr>
                <w:color w:val="000000" w:themeColor="text1"/>
                <w:szCs w:val="21"/>
                <w:highlight w:val="none"/>
                <w14:textFill>
                  <w14:solidFill>
                    <w14:schemeClr w14:val="tx1"/>
                  </w14:solidFill>
                </w14:textFill>
              </w:rPr>
              <w:t>9600 bps</w:t>
            </w:r>
          </w:p>
        </w:tc>
        <w:tc>
          <w:tcPr>
            <w:tcW w:w="0" w:type="auto"/>
            <w:tcBorders>
              <w:top w:val="nil"/>
              <w:left w:val="nil"/>
              <w:bottom w:val="single" w:color="auto" w:sz="4" w:space="0"/>
              <w:right w:val="single" w:color="auto" w:sz="4" w:space="0"/>
            </w:tcBorders>
            <w:vAlign w:val="center"/>
          </w:tcPr>
          <w:p w14:paraId="1B3E53DA">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2085E334">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MODBUS RTU</w:t>
            </w:r>
            <w:r>
              <w:rPr>
                <w:rFonts w:hint="eastAsia" w:ascii="宋体" w:hAnsi="宋体"/>
                <w:color w:val="000000" w:themeColor="text1"/>
                <w:szCs w:val="21"/>
                <w:highlight w:val="none"/>
                <w14:textFill>
                  <w14:solidFill>
                    <w14:schemeClr w14:val="tx1"/>
                  </w14:solidFill>
                </w14:textFill>
              </w:rPr>
              <w:t>标准规约</w:t>
            </w:r>
          </w:p>
        </w:tc>
      </w:tr>
      <w:tr w14:paraId="45E0A115">
        <w:tblPrEx>
          <w:tblCellMar>
            <w:top w:w="0" w:type="dxa"/>
            <w:left w:w="108" w:type="dxa"/>
            <w:bottom w:w="0" w:type="dxa"/>
            <w:right w:w="108" w:type="dxa"/>
          </w:tblCellMar>
        </w:tblPrEx>
        <w:trPr>
          <w:cantSplit/>
          <w:trHeight w:val="510" w:hRule="atLeast"/>
        </w:trPr>
        <w:tc>
          <w:tcPr>
            <w:tcW w:w="0" w:type="auto"/>
            <w:tcBorders>
              <w:top w:val="nil"/>
              <w:left w:val="single" w:color="auto" w:sz="4" w:space="0"/>
              <w:bottom w:val="single" w:color="auto" w:sz="4" w:space="0"/>
              <w:right w:val="single" w:color="auto" w:sz="4" w:space="0"/>
            </w:tcBorders>
            <w:vAlign w:val="center"/>
          </w:tcPr>
          <w:p w14:paraId="1A80F7EF">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CAN</w:t>
            </w:r>
            <w:r>
              <w:rPr>
                <w:rFonts w:hint="eastAsia" w:ascii="宋体" w:hAnsi="宋体"/>
                <w:color w:val="000000" w:themeColor="text1"/>
                <w:szCs w:val="21"/>
                <w:highlight w:val="none"/>
                <w14:textFill>
                  <w14:solidFill>
                    <w14:schemeClr w14:val="tx1"/>
                  </w14:solidFill>
                </w14:textFill>
              </w:rPr>
              <w:t>通讯接口</w:t>
            </w:r>
          </w:p>
        </w:tc>
        <w:tc>
          <w:tcPr>
            <w:tcW w:w="0" w:type="auto"/>
            <w:gridSpan w:val="2"/>
            <w:tcBorders>
              <w:top w:val="single" w:color="auto" w:sz="4" w:space="0"/>
              <w:left w:val="nil"/>
              <w:bottom w:val="single" w:color="auto" w:sz="4" w:space="0"/>
              <w:right w:val="single" w:color="auto" w:sz="4" w:space="0"/>
            </w:tcBorders>
            <w:vAlign w:val="center"/>
          </w:tcPr>
          <w:p w14:paraId="7223768F">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125Kbps</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CAN2.0</w:t>
            </w:r>
            <w:r>
              <w:rPr>
                <w:rFonts w:hint="eastAsia" w:ascii="宋体" w:hAnsi="宋体"/>
                <w:color w:val="000000" w:themeColor="text1"/>
                <w:szCs w:val="21"/>
                <w:highlight w:val="none"/>
                <w14:textFill>
                  <w14:solidFill>
                    <w14:schemeClr w14:val="tx1"/>
                  </w14:solidFill>
                </w14:textFill>
              </w:rPr>
              <w:t>接口，兼容</w:t>
            </w:r>
            <w:r>
              <w:rPr>
                <w:color w:val="000000" w:themeColor="text1"/>
                <w:szCs w:val="21"/>
                <w:highlight w:val="none"/>
                <w14:textFill>
                  <w14:solidFill>
                    <w14:schemeClr w14:val="tx1"/>
                  </w14:solidFill>
                </w14:textFill>
              </w:rPr>
              <w:t>CAN</w:t>
            </w:r>
            <w:r>
              <w:rPr>
                <w:rFonts w:hint="eastAsia" w:ascii="宋体" w:hAnsi="宋体"/>
                <w:color w:val="000000" w:themeColor="text1"/>
                <w:szCs w:val="21"/>
                <w:highlight w:val="none"/>
                <w14:textFill>
                  <w14:solidFill>
                    <w14:schemeClr w14:val="tx1"/>
                  </w14:solidFill>
                </w14:textFill>
              </w:rPr>
              <w:t>规范</w:t>
            </w:r>
            <w:r>
              <w:rPr>
                <w:color w:val="000000" w:themeColor="text1"/>
                <w:szCs w:val="21"/>
                <w:highlight w:val="none"/>
                <w14:textFill>
                  <w14:solidFill>
                    <w14:schemeClr w14:val="tx1"/>
                  </w14:solidFill>
                </w14:textFill>
              </w:rPr>
              <w:t>2.0B</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ISO11898-1</w:t>
            </w:r>
            <w:r>
              <w:rPr>
                <w:rFonts w:hint="eastAsia" w:ascii="宋体" w:hAnsi="宋体"/>
                <w:color w:val="000000" w:themeColor="text1"/>
                <w:szCs w:val="21"/>
                <w:highlight w:val="none"/>
                <w14:textFill>
                  <w14:solidFill>
                    <w14:schemeClr w14:val="tx1"/>
                  </w14:solidFill>
                </w14:textFill>
              </w:rPr>
              <w:t>；</w:t>
            </w:r>
          </w:p>
        </w:tc>
        <w:tc>
          <w:tcPr>
            <w:tcW w:w="0" w:type="auto"/>
            <w:tcBorders>
              <w:top w:val="nil"/>
              <w:left w:val="nil"/>
              <w:bottom w:val="single" w:color="auto" w:sz="4" w:space="0"/>
              <w:right w:val="single" w:color="auto" w:sz="4" w:space="0"/>
            </w:tcBorders>
            <w:vAlign w:val="center"/>
          </w:tcPr>
          <w:p w14:paraId="05CA5490">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3510BED1">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可接入</w:t>
            </w:r>
            <w:r>
              <w:rPr>
                <w:color w:val="000000" w:themeColor="text1"/>
                <w:szCs w:val="21"/>
                <w:highlight w:val="none"/>
                <w14:textFill>
                  <w14:solidFill>
                    <w14:schemeClr w14:val="tx1"/>
                  </w14:solidFill>
                </w14:textFill>
              </w:rPr>
              <w:t>CAN</w:t>
            </w:r>
            <w:r>
              <w:rPr>
                <w:rFonts w:hint="eastAsia" w:ascii="宋体" w:hAnsi="宋体" w:cs="宋体"/>
                <w:color w:val="000000" w:themeColor="text1"/>
                <w:szCs w:val="21"/>
                <w:highlight w:val="none"/>
                <w14:textFill>
                  <w14:solidFill>
                    <w14:schemeClr w14:val="tx1"/>
                  </w14:solidFill>
                </w14:textFill>
              </w:rPr>
              <w:t>总线充电模块</w:t>
            </w:r>
          </w:p>
        </w:tc>
      </w:tr>
      <w:tr w14:paraId="1FE465DB">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265512A7">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辅助源输出</w:t>
            </w:r>
          </w:p>
        </w:tc>
        <w:tc>
          <w:tcPr>
            <w:tcW w:w="0" w:type="auto"/>
            <w:gridSpan w:val="2"/>
            <w:tcBorders>
              <w:top w:val="single" w:color="auto" w:sz="4" w:space="0"/>
              <w:left w:val="nil"/>
              <w:bottom w:val="single" w:color="auto" w:sz="4" w:space="0"/>
              <w:right w:val="single" w:color="auto" w:sz="4" w:space="0"/>
            </w:tcBorders>
            <w:vAlign w:val="center"/>
          </w:tcPr>
          <w:p w14:paraId="64002338">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24V</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0.5A</w:t>
            </w:r>
          </w:p>
        </w:tc>
        <w:tc>
          <w:tcPr>
            <w:tcW w:w="0" w:type="auto"/>
            <w:tcBorders>
              <w:top w:val="nil"/>
              <w:left w:val="nil"/>
              <w:bottom w:val="single" w:color="auto" w:sz="4" w:space="0"/>
              <w:right w:val="single" w:color="auto" w:sz="4" w:space="0"/>
            </w:tcBorders>
            <w:vAlign w:val="center"/>
          </w:tcPr>
          <w:p w14:paraId="523037D3">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p>
        </w:tc>
        <w:tc>
          <w:tcPr>
            <w:tcW w:w="0" w:type="auto"/>
            <w:tcBorders>
              <w:top w:val="nil"/>
              <w:left w:val="nil"/>
              <w:bottom w:val="single" w:color="auto" w:sz="4" w:space="0"/>
              <w:right w:val="single" w:color="auto" w:sz="4" w:space="0"/>
            </w:tcBorders>
            <w:vAlign w:val="center"/>
          </w:tcPr>
          <w:p w14:paraId="1DA5F182">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限功率及短路保护</w:t>
            </w:r>
          </w:p>
        </w:tc>
      </w:tr>
      <w:tr w14:paraId="2E34E954">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3D75D1B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工作环境</w:t>
            </w:r>
          </w:p>
        </w:tc>
        <w:tc>
          <w:tcPr>
            <w:tcW w:w="0" w:type="auto"/>
            <w:gridSpan w:val="2"/>
            <w:tcBorders>
              <w:top w:val="single" w:color="auto" w:sz="4" w:space="0"/>
              <w:left w:val="nil"/>
              <w:bottom w:val="single" w:color="auto" w:sz="4" w:space="0"/>
              <w:right w:val="single" w:color="auto" w:sz="4" w:space="0"/>
            </w:tcBorders>
            <w:vAlign w:val="center"/>
          </w:tcPr>
          <w:p w14:paraId="13CE88BC">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-10~50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10%~90%RH</w:t>
            </w:r>
            <w:r>
              <w:rPr>
                <w:rFonts w:hint="eastAsia" w:ascii="宋体" w:hAnsi="宋体"/>
                <w:color w:val="000000" w:themeColor="text1"/>
                <w:szCs w:val="21"/>
                <w:highlight w:val="none"/>
                <w14:textFill>
                  <w14:solidFill>
                    <w14:schemeClr w14:val="tx1"/>
                  </w14:solidFill>
                </w14:textFill>
              </w:rPr>
              <w:t>；无凝露</w:t>
            </w:r>
          </w:p>
        </w:tc>
        <w:tc>
          <w:tcPr>
            <w:tcW w:w="0" w:type="auto"/>
            <w:tcBorders>
              <w:top w:val="nil"/>
              <w:left w:val="nil"/>
              <w:bottom w:val="single" w:color="auto" w:sz="4" w:space="0"/>
              <w:right w:val="single" w:color="auto" w:sz="4" w:space="0"/>
            </w:tcBorders>
            <w:vAlign w:val="center"/>
          </w:tcPr>
          <w:p w14:paraId="6D599A52">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54D7650C">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4F8ADA00">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173BFAFB">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存储环境</w:t>
            </w:r>
          </w:p>
        </w:tc>
        <w:tc>
          <w:tcPr>
            <w:tcW w:w="0" w:type="auto"/>
            <w:gridSpan w:val="2"/>
            <w:tcBorders>
              <w:top w:val="single" w:color="auto" w:sz="4" w:space="0"/>
              <w:left w:val="nil"/>
              <w:bottom w:val="single" w:color="auto" w:sz="4" w:space="0"/>
              <w:right w:val="single" w:color="auto" w:sz="4" w:space="0"/>
            </w:tcBorders>
            <w:vAlign w:val="center"/>
          </w:tcPr>
          <w:p w14:paraId="5AA9EF63">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-25~70</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10%~90%RH</w:t>
            </w:r>
            <w:r>
              <w:rPr>
                <w:rFonts w:hint="eastAsia" w:ascii="宋体" w:hAnsi="宋体"/>
                <w:color w:val="000000" w:themeColor="text1"/>
                <w:szCs w:val="21"/>
                <w:highlight w:val="none"/>
                <w14:textFill>
                  <w14:solidFill>
                    <w14:schemeClr w14:val="tx1"/>
                  </w14:solidFill>
                </w14:textFill>
              </w:rPr>
              <w:t>；无凝露</w:t>
            </w:r>
          </w:p>
        </w:tc>
        <w:tc>
          <w:tcPr>
            <w:tcW w:w="0" w:type="auto"/>
            <w:tcBorders>
              <w:top w:val="nil"/>
              <w:left w:val="nil"/>
              <w:bottom w:val="single" w:color="auto" w:sz="4" w:space="0"/>
              <w:right w:val="single" w:color="auto" w:sz="4" w:space="0"/>
            </w:tcBorders>
            <w:vAlign w:val="center"/>
          </w:tcPr>
          <w:p w14:paraId="1F5EE09B">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51F62F22">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r w14:paraId="6F712B7A">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vAlign w:val="center"/>
          </w:tcPr>
          <w:p w14:paraId="20E3776C">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大气压</w:t>
            </w:r>
          </w:p>
        </w:tc>
        <w:tc>
          <w:tcPr>
            <w:tcW w:w="0" w:type="auto"/>
            <w:gridSpan w:val="2"/>
            <w:tcBorders>
              <w:top w:val="single" w:color="auto" w:sz="4" w:space="0"/>
              <w:left w:val="nil"/>
              <w:bottom w:val="single" w:color="auto" w:sz="4" w:space="0"/>
              <w:right w:val="single" w:color="auto" w:sz="4" w:space="0"/>
            </w:tcBorders>
            <w:vAlign w:val="center"/>
          </w:tcPr>
          <w:p w14:paraId="3BE2F0FE">
            <w:pPr>
              <w:widowControl/>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70~106kPa</w:t>
            </w:r>
          </w:p>
        </w:tc>
        <w:tc>
          <w:tcPr>
            <w:tcW w:w="0" w:type="auto"/>
            <w:tcBorders>
              <w:top w:val="nil"/>
              <w:left w:val="nil"/>
              <w:bottom w:val="single" w:color="auto" w:sz="4" w:space="0"/>
              <w:right w:val="single" w:color="auto" w:sz="4" w:space="0"/>
            </w:tcBorders>
            <w:vAlign w:val="center"/>
          </w:tcPr>
          <w:p w14:paraId="0B14F608">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c>
          <w:tcPr>
            <w:tcW w:w="0" w:type="auto"/>
            <w:tcBorders>
              <w:top w:val="nil"/>
              <w:left w:val="nil"/>
              <w:bottom w:val="single" w:color="auto" w:sz="4" w:space="0"/>
              <w:right w:val="single" w:color="auto" w:sz="4" w:space="0"/>
            </w:tcBorders>
            <w:vAlign w:val="center"/>
          </w:tcPr>
          <w:p w14:paraId="21AF4456">
            <w:pPr>
              <w:widowControl/>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w:t>
            </w:r>
          </w:p>
        </w:tc>
      </w:tr>
    </w:tbl>
    <w:p w14:paraId="6A2FB82E">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p>
    <w:p w14:paraId="6687625C">
      <w:pPr>
        <w:spacing w:line="360" w:lineRule="auto"/>
        <w:ind w:firstLine="482" w:firstLineChars="200"/>
        <w:contextualSpacing/>
        <w:rPr>
          <w:rFonts w:asciiTheme="minorEastAsia" w:hAnsiTheme="minorEastAsia"/>
          <w:b/>
          <w:color w:val="000000" w:themeColor="text1"/>
          <w:sz w:val="24"/>
          <w:highlight w:val="none"/>
          <w14:textFill>
            <w14:solidFill>
              <w14:schemeClr w14:val="tx1"/>
            </w14:solidFill>
          </w14:textFill>
        </w:rPr>
      </w:pPr>
      <w:r>
        <w:rPr>
          <w:rFonts w:hint="eastAsia" w:asciiTheme="minorEastAsia" w:hAnsiTheme="minorEastAsia"/>
          <w:b/>
          <w:color w:val="000000" w:themeColor="text1"/>
          <w:sz w:val="24"/>
          <w:highlight w:val="none"/>
          <w14:textFill>
            <w14:solidFill>
              <w14:schemeClr w14:val="tx1"/>
            </w14:solidFill>
          </w14:textFill>
        </w:rPr>
        <w:t>（4）屏体</w:t>
      </w:r>
    </w:p>
    <w:p w14:paraId="1647B13C">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微机直流电源装置屏采用拼装式结构、外形尺寸为</w:t>
      </w:r>
      <w:r>
        <w:rPr>
          <w:rFonts w:asciiTheme="minorEastAsia" w:hAnsiTheme="minorEastAsia"/>
          <w:color w:val="000000" w:themeColor="text1"/>
          <w:sz w:val="24"/>
          <w:highlight w:val="none"/>
          <w14:textFill>
            <w14:solidFill>
              <w14:schemeClr w14:val="tx1"/>
            </w14:solidFill>
          </w14:textFill>
        </w:rPr>
        <w:t>800</w:t>
      </w:r>
      <w:r>
        <w:rPr>
          <w:rFonts w:hint="eastAsia" w:asciiTheme="minorEastAsia" w:hAnsiTheme="minorEastAsia"/>
          <w:color w:val="000000" w:themeColor="text1"/>
          <w:sz w:val="24"/>
          <w:highlight w:val="none"/>
          <w14:textFill>
            <w14:solidFill>
              <w14:schemeClr w14:val="tx1"/>
            </w14:solidFill>
          </w14:textFill>
        </w:rPr>
        <w:t>（宽）</w:t>
      </w:r>
      <w:r>
        <w:rPr>
          <w:rFonts w:asciiTheme="minorEastAsia" w:hAnsiTheme="minorEastAsia"/>
          <w:color w:val="000000" w:themeColor="text1"/>
          <w:sz w:val="24"/>
          <w:highlight w:val="none"/>
          <w14:textFill>
            <w14:solidFill>
              <w14:schemeClr w14:val="tx1"/>
            </w14:solidFill>
          </w14:textFill>
        </w:rPr>
        <w:t>×600</w:t>
      </w:r>
      <w:r>
        <w:rPr>
          <w:rFonts w:hint="eastAsia" w:asciiTheme="minorEastAsia" w:hAnsiTheme="minorEastAsia"/>
          <w:color w:val="000000" w:themeColor="text1"/>
          <w:sz w:val="24"/>
          <w:highlight w:val="none"/>
          <w14:textFill>
            <w14:solidFill>
              <w14:schemeClr w14:val="tx1"/>
            </w14:solidFill>
          </w14:textFill>
        </w:rPr>
        <w:t>（深）</w:t>
      </w:r>
      <w:r>
        <w:rPr>
          <w:rFonts w:asciiTheme="minorEastAsia" w:hAnsiTheme="minorEastAsia"/>
          <w:color w:val="000000" w:themeColor="text1"/>
          <w:sz w:val="24"/>
          <w:highlight w:val="none"/>
          <w14:textFill>
            <w14:solidFill>
              <w14:schemeClr w14:val="tx1"/>
            </w14:solidFill>
          </w14:textFill>
        </w:rPr>
        <w:t>×2260</w:t>
      </w:r>
      <w:r>
        <w:rPr>
          <w:rFonts w:hint="eastAsia" w:asciiTheme="minorEastAsia" w:hAnsiTheme="minorEastAsia"/>
          <w:color w:val="000000" w:themeColor="text1"/>
          <w:sz w:val="24"/>
          <w:highlight w:val="none"/>
          <w14:textFill>
            <w14:solidFill>
              <w14:schemeClr w14:val="tx1"/>
            </w14:solidFill>
          </w14:textFill>
        </w:rPr>
        <w:t>（高）</w:t>
      </w:r>
      <w:r>
        <w:rPr>
          <w:rFonts w:asciiTheme="minorEastAsia" w:hAnsiTheme="minorEastAsia"/>
          <w:color w:val="000000" w:themeColor="text1"/>
          <w:sz w:val="24"/>
          <w:highlight w:val="none"/>
          <w14:textFill>
            <w14:solidFill>
              <w14:schemeClr w14:val="tx1"/>
            </w14:solidFill>
          </w14:textFill>
        </w:rPr>
        <w:t>mm</w:t>
      </w:r>
      <w:r>
        <w:rPr>
          <w:rFonts w:hint="eastAsia" w:asciiTheme="minorEastAsia" w:hAnsiTheme="minorEastAsia"/>
          <w:color w:val="000000" w:themeColor="text1"/>
          <w:sz w:val="24"/>
          <w:highlight w:val="none"/>
          <w14:textFill>
            <w14:solidFill>
              <w14:schemeClr w14:val="tx1"/>
            </w14:solidFill>
          </w14:textFill>
        </w:rPr>
        <w:t>的标准屏体，前门为整屏透明钢化玻璃铝型材门，后门为双开门，侧面封闭。屏体应按</w:t>
      </w:r>
      <w:r>
        <w:rPr>
          <w:rFonts w:asciiTheme="minorEastAsia" w:hAnsiTheme="minorEastAsia"/>
          <w:color w:val="000000" w:themeColor="text1"/>
          <w:sz w:val="24"/>
          <w:highlight w:val="none"/>
          <w14:textFill>
            <w14:solidFill>
              <w14:schemeClr w14:val="tx1"/>
            </w14:solidFill>
          </w14:textFill>
        </w:rPr>
        <w:t>IEC</w:t>
      </w:r>
      <w:r>
        <w:rPr>
          <w:rFonts w:hint="eastAsia" w:asciiTheme="minorEastAsia" w:hAnsiTheme="minorEastAsia"/>
          <w:color w:val="000000" w:themeColor="text1"/>
          <w:sz w:val="24"/>
          <w:highlight w:val="none"/>
          <w14:textFill>
            <w14:solidFill>
              <w14:schemeClr w14:val="tx1"/>
            </w14:solidFill>
          </w14:textFill>
        </w:rPr>
        <w:t>第</w:t>
      </w:r>
      <w:r>
        <w:rPr>
          <w:rFonts w:asciiTheme="minorEastAsia" w:hAnsiTheme="minorEastAsia"/>
          <w:color w:val="000000" w:themeColor="text1"/>
          <w:sz w:val="24"/>
          <w:highlight w:val="none"/>
          <w14:textFill>
            <w14:solidFill>
              <w14:schemeClr w14:val="tx1"/>
            </w14:solidFill>
          </w14:textFill>
        </w:rPr>
        <w:t>144/529</w:t>
      </w:r>
      <w:r>
        <w:rPr>
          <w:rFonts w:hint="eastAsia" w:asciiTheme="minorEastAsia" w:hAnsiTheme="minorEastAsia"/>
          <w:color w:val="000000" w:themeColor="text1"/>
          <w:sz w:val="24"/>
          <w:highlight w:val="none"/>
          <w14:textFill>
            <w14:solidFill>
              <w14:schemeClr w14:val="tx1"/>
            </w14:solidFill>
          </w14:textFill>
        </w:rPr>
        <w:t>标准进行保护，有良好的防尘、防潮、防屏蔽性能，防护等级均为</w:t>
      </w:r>
      <w:r>
        <w:rPr>
          <w:rFonts w:asciiTheme="minorEastAsia" w:hAnsiTheme="minorEastAsia"/>
          <w:color w:val="000000" w:themeColor="text1"/>
          <w:sz w:val="24"/>
          <w:highlight w:val="none"/>
          <w14:textFill>
            <w14:solidFill>
              <w14:schemeClr w14:val="tx1"/>
            </w14:solidFill>
          </w14:textFill>
        </w:rPr>
        <w:t>IP30</w:t>
      </w:r>
      <w:r>
        <w:rPr>
          <w:rFonts w:hint="eastAsia" w:asciiTheme="minorEastAsia" w:hAnsiTheme="minorEastAsia"/>
          <w:color w:val="000000" w:themeColor="text1"/>
          <w:sz w:val="24"/>
          <w:highlight w:val="none"/>
          <w14:textFill>
            <w14:solidFill>
              <w14:schemeClr w14:val="tx1"/>
            </w14:solidFill>
          </w14:textFill>
        </w:rPr>
        <w:t>。</w:t>
      </w:r>
    </w:p>
    <w:p w14:paraId="29DB352A">
      <w:pPr>
        <w:spacing w:line="360" w:lineRule="auto"/>
        <w:ind w:firstLine="480" w:firstLineChars="200"/>
        <w:contextualSpacing/>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屏内按钮、信号灯、熔断器、中间继电器和电流互感器等设备选型应选用成熟产品。屏内线缆布线要求采用</w:t>
      </w:r>
      <w:r>
        <w:rPr>
          <w:rFonts w:asciiTheme="minorEastAsia" w:hAnsiTheme="minorEastAsia"/>
          <w:color w:val="000000" w:themeColor="text1"/>
          <w:sz w:val="24"/>
          <w:highlight w:val="none"/>
          <w14:textFill>
            <w14:solidFill>
              <w14:schemeClr w14:val="tx1"/>
            </w14:solidFill>
          </w14:textFill>
        </w:rPr>
        <w:t>PVC</w:t>
      </w:r>
      <w:r>
        <w:rPr>
          <w:rFonts w:hint="eastAsia" w:asciiTheme="minorEastAsia" w:hAnsiTheme="minorEastAsia"/>
          <w:color w:val="000000" w:themeColor="text1"/>
          <w:sz w:val="24"/>
          <w:highlight w:val="none"/>
          <w14:textFill>
            <w14:solidFill>
              <w14:schemeClr w14:val="tx1"/>
            </w14:solidFill>
          </w14:textFill>
        </w:rPr>
        <w:t>线槽。</w:t>
      </w:r>
      <w:bookmarkEnd w:id="68"/>
    </w:p>
    <w:p w14:paraId="6D4DA957">
      <w:pPr>
        <w:adjustRightInd w:val="0"/>
        <w:snapToGrid w:val="0"/>
        <w:spacing w:line="360" w:lineRule="auto"/>
        <w:outlineLvl w:val="2"/>
        <w:rPr>
          <w:rFonts w:ascii="宋体" w:hAnsi="宋体" w:eastAsia="宋体" w:cs="宋体"/>
          <w:b/>
          <w:bCs/>
          <w:color w:val="000000" w:themeColor="text1"/>
          <w:kern w:val="2"/>
          <w:sz w:val="24"/>
          <w:szCs w:val="24"/>
          <w:highlight w:val="none"/>
          <w14:textFill>
            <w14:solidFill>
              <w14:schemeClr w14:val="tx1"/>
            </w14:solidFill>
          </w14:textFill>
        </w:rPr>
      </w:pPr>
      <w:bookmarkStart w:id="72" w:name="OLE_LINK26"/>
      <w:r>
        <w:rPr>
          <w:rFonts w:hint="eastAsia" w:ascii="宋体" w:hAnsi="宋体" w:eastAsia="宋体" w:cs="宋体"/>
          <w:b/>
          <w:bCs/>
          <w:color w:val="000000" w:themeColor="text1"/>
          <w:kern w:val="2"/>
          <w:sz w:val="24"/>
          <w:szCs w:val="24"/>
          <w:highlight w:val="none"/>
          <w14:textFill>
            <w14:solidFill>
              <w14:schemeClr w14:val="tx1"/>
            </w14:solidFill>
          </w14:textFill>
        </w:rPr>
        <w:t>4.8 6kV高压开关柜</w:t>
      </w:r>
    </w:p>
    <w:bookmarkEnd w:id="72"/>
    <w:p w14:paraId="0B5EFC1A">
      <w:pPr>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14:textFill>
            <w14:solidFill>
              <w14:schemeClr w14:val="tx1"/>
            </w14:solidFill>
          </w14:textFill>
        </w:rPr>
      </w:pPr>
      <w:bookmarkStart w:id="73" w:name="OLE_LINK5"/>
      <w:r>
        <w:rPr>
          <w:rFonts w:hint="eastAsia" w:ascii="宋体" w:hAnsi="宋体" w:eastAsia="宋体" w:cs="宋体"/>
          <w:color w:val="000000" w:themeColor="text1"/>
          <w:kern w:val="2"/>
          <w:sz w:val="24"/>
          <w:szCs w:val="24"/>
          <w:highlight w:val="none"/>
          <w14:textFill>
            <w14:solidFill>
              <w14:schemeClr w14:val="tx1"/>
            </w14:solidFill>
          </w14:textFill>
        </w:rPr>
        <w:t xml:space="preserve">Ⅱ段Ⅲ段母线联络开关柜原ABB </w:t>
      </w:r>
      <w:r>
        <w:rPr>
          <w:rFonts w:ascii="宋体" w:hAnsi="宋体" w:eastAsia="宋体" w:cs="宋体"/>
          <w:color w:val="000000" w:themeColor="text1"/>
          <w:kern w:val="2"/>
          <w:sz w:val="24"/>
          <w:szCs w:val="24"/>
          <w:highlight w:val="none"/>
          <w14:textFill>
            <w14:solidFill>
              <w14:schemeClr w14:val="tx1"/>
            </w14:solidFill>
          </w14:textFill>
        </w:rPr>
        <w:t>VD4/Z 12</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12</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ascii="宋体" w:hAnsi="宋体" w:eastAsia="宋体" w:cs="宋体"/>
          <w:color w:val="000000" w:themeColor="text1"/>
          <w:kern w:val="2"/>
          <w:sz w:val="24"/>
          <w:szCs w:val="24"/>
          <w:highlight w:val="none"/>
          <w14:textFill>
            <w14:solidFill>
              <w14:schemeClr w14:val="tx1"/>
            </w14:solidFill>
          </w14:textFill>
        </w:rPr>
        <w:t>32</w:t>
      </w:r>
      <w:r>
        <w:rPr>
          <w:rFonts w:hint="eastAsia" w:asciiTheme="minorEastAsia" w:hAnsiTheme="minorEastAsia"/>
          <w:color w:val="000000" w:themeColor="text1"/>
          <w:sz w:val="24"/>
          <w:highlight w:val="none"/>
          <w14:textFill>
            <w14:solidFill>
              <w14:schemeClr w14:val="tx1"/>
            </w14:solidFill>
          </w14:textFill>
        </w:rPr>
        <w:t>断路器更换，</w:t>
      </w:r>
      <w:r>
        <w:rPr>
          <w:rFonts w:hint="eastAsia" w:ascii="宋体" w:hAnsi="宋体" w:eastAsia="宋体" w:cs="宋体"/>
          <w:color w:val="000000" w:themeColor="text1"/>
          <w:kern w:val="2"/>
          <w:sz w:val="24"/>
          <w:szCs w:val="24"/>
          <w:highlight w:val="none"/>
          <w14:textFill>
            <w14:solidFill>
              <w14:schemeClr w14:val="tx1"/>
            </w14:solidFill>
          </w14:textFill>
        </w:rPr>
        <w:t>安装于6kv III段母线联络柜。可抽出式断路器的标准配置：</w:t>
      </w:r>
      <w:r>
        <w:rPr>
          <w:rFonts w:ascii="宋体" w:hAnsi="宋体" w:eastAsia="宋体" w:cs="宋体"/>
          <w:color w:val="000000" w:themeColor="text1"/>
          <w:kern w:val="2"/>
          <w:sz w:val="24"/>
          <w:szCs w:val="24"/>
          <w:highlight w:val="none"/>
          <w14:textFill>
            <w14:solidFill>
              <w14:schemeClr w14:val="tx1"/>
            </w14:solidFill>
          </w14:textFill>
        </w:rPr>
        <w:t>12kV-1250A/31.5kA</w:t>
      </w:r>
      <w:r>
        <w:rPr>
          <w:rFonts w:hint="eastAsia" w:ascii="宋体" w:hAnsi="宋体" w:eastAsia="宋体" w:cs="宋体"/>
          <w:color w:val="000000" w:themeColor="text1"/>
          <w:kern w:val="2"/>
          <w:sz w:val="24"/>
          <w:szCs w:val="24"/>
          <w:highlight w:val="none"/>
          <w14:textFill>
            <w14:solidFill>
              <w14:schemeClr w14:val="tx1"/>
            </w14:solidFill>
          </w14:textFill>
        </w:rPr>
        <w:t>。</w:t>
      </w:r>
    </w:p>
    <w:p w14:paraId="076A40A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1、EL操动机构；</w:t>
      </w:r>
    </w:p>
    <w:p w14:paraId="16BA41F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2、内置的手动储能杆；</w:t>
      </w:r>
    </w:p>
    <w:p w14:paraId="5B01818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3、合闸按钮、分闸按钮和操作计数器；</w:t>
      </w:r>
    </w:p>
    <w:p w14:paraId="67118854">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4、 机械防跳装置；</w:t>
      </w:r>
    </w:p>
    <w:p w14:paraId="7887C16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5、 储能电机（-MAS）；</w:t>
      </w:r>
    </w:p>
    <w:p w14:paraId="3AF26FC5">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6、合闸闭锁电磁铁（-RLE1）；</w:t>
      </w:r>
    </w:p>
    <w:p w14:paraId="4A33097B">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7、合闸脱扣器（-MBC）；</w:t>
      </w:r>
    </w:p>
    <w:p w14:paraId="6889E25C">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8、分闸脱扣器（-MBO1）；</w:t>
      </w:r>
    </w:p>
    <w:p w14:paraId="19FD834F">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9、分合闸辅助开关（-BGB0）；</w:t>
      </w:r>
    </w:p>
    <w:p w14:paraId="56617573">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10、合闸弹簧储能/未储能信号触点（-BGS2）；</w:t>
      </w:r>
    </w:p>
    <w:p w14:paraId="7BE58574">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11、手车位置辅助开关（-BGT1，-BGT2）；</w:t>
      </w:r>
    </w:p>
    <w:p w14:paraId="13192D90">
      <w:pPr>
        <w:adjustRightInd w:val="0"/>
        <w:snapToGrid w:val="0"/>
        <w:spacing w:line="360" w:lineRule="auto"/>
        <w:ind w:firstLine="480" w:firstLineChars="200"/>
        <w:rPr>
          <w:rFonts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12、连接到辅助电路的航空插，根据要求可配置特殊防误插针，以防止与开关柜额定电流不同的断路器被摇进到开关柜中；</w:t>
      </w:r>
    </w:p>
    <w:p w14:paraId="1587D988">
      <w:pPr>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13、 触指。</w:t>
      </w:r>
      <w:bookmarkEnd w:id="73"/>
    </w:p>
    <w:p w14:paraId="554D32C0">
      <w:pPr>
        <w:adjustRightInd w:val="0"/>
        <w:snapToGrid w:val="0"/>
        <w:spacing w:line="360" w:lineRule="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t>4.9安装调试方案：</w:t>
      </w: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110KV自动化</w:t>
      </w:r>
      <w:bookmarkStart w:id="86" w:name="_GoBack"/>
      <w:bookmarkEnd w:id="86"/>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保护系统维修安装调试包括施工准备、人员准备、物资与工具准备、现场准备、维修安装流程、调试内容及标准、应急预案等方面</w:t>
      </w:r>
    </w:p>
    <w:p w14:paraId="2125F0F8">
      <w:pP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五、</w:t>
      </w:r>
      <w:r>
        <w:rPr>
          <w:rFonts w:hint="eastAsia" w:ascii="宋体" w:hAnsi="宋体" w:eastAsia="宋体" w:cs="宋体"/>
          <w:b/>
          <w:color w:val="000000" w:themeColor="text1"/>
          <w:sz w:val="24"/>
          <w:szCs w:val="24"/>
          <w:highlight w:val="none"/>
          <w14:textFill>
            <w14:solidFill>
              <w14:schemeClr w14:val="tx1"/>
            </w14:solidFill>
          </w14:textFill>
        </w:rPr>
        <w:t>工期</w:t>
      </w:r>
    </w:p>
    <w:p w14:paraId="6EF26F91">
      <w:pPr>
        <w:widowControl/>
        <w:spacing w:line="480" w:lineRule="exact"/>
        <w:ind w:firstLine="480" w:firstLineChars="200"/>
        <w:jc w:val="left"/>
        <w:rPr>
          <w:rFonts w:ascii="宋体" w:hAnsi="宋体" w:eastAsia="Arial" w:cs="宋体"/>
          <w:b/>
          <w:bCs/>
          <w:color w:val="000000" w:themeColor="text1"/>
          <w:sz w:val="24"/>
          <w:szCs w:val="24"/>
          <w:highlight w:val="none"/>
          <w14:textFill>
            <w14:solidFill>
              <w14:schemeClr w14:val="tx1"/>
            </w14:solidFill>
          </w14:textFill>
        </w:rPr>
      </w:pPr>
      <w:r>
        <w:rPr>
          <w:rFonts w:hint="eastAsia" w:ascii="宋体" w:hAnsi="宋体" w:eastAsia="Arial"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kern w:val="2"/>
          <w:sz w:val="24"/>
          <w:szCs w:val="24"/>
          <w:highlight w:val="none"/>
          <w14:textFill>
            <w14:solidFill>
              <w14:schemeClr w14:val="tx1"/>
            </w14:solidFill>
          </w14:textFill>
        </w:rPr>
        <w:t>工  期：90日历天（具体开工日期以采购人发出的书面开工令为准）</w:t>
      </w:r>
    </w:p>
    <w:p w14:paraId="0D241BFF">
      <w:pPr>
        <w:spacing w:line="480" w:lineRule="exact"/>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六、验收标准</w:t>
      </w:r>
    </w:p>
    <w:p w14:paraId="2407F46B">
      <w:pPr>
        <w:spacing w:line="360" w:lineRule="auto"/>
        <w:ind w:firstLine="482"/>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1、项目结束时，中标人通过采购人组织的验收。</w:t>
      </w:r>
    </w:p>
    <w:p w14:paraId="58C4DB30">
      <w:pPr>
        <w:spacing w:line="480" w:lineRule="exact"/>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七</w:t>
      </w:r>
      <w:r>
        <w:rPr>
          <w:rFonts w:hint="eastAsia" w:ascii="宋体" w:hAnsi="宋体" w:eastAsia="Arial" w:cs="宋体"/>
          <w:b/>
          <w:color w:val="000000" w:themeColor="text1"/>
          <w:sz w:val="24"/>
          <w:szCs w:val="24"/>
          <w:highlight w:val="none"/>
          <w14:textFill>
            <w14:solidFill>
              <w14:schemeClr w14:val="tx1"/>
            </w14:solidFill>
          </w14:textFill>
        </w:rPr>
        <w:t>、售后服务</w:t>
      </w:r>
    </w:p>
    <w:p w14:paraId="7F92832C">
      <w:pPr>
        <w:widowControl/>
        <w:spacing w:line="480" w:lineRule="exact"/>
        <w:ind w:firstLine="480" w:firstLineChars="200"/>
        <w:jc w:val="left"/>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Arial" w:cs="宋体"/>
          <w:color w:val="000000" w:themeColor="text1"/>
          <w:sz w:val="24"/>
          <w:szCs w:val="24"/>
          <w:highlight w:val="none"/>
          <w14:textFill>
            <w14:solidFill>
              <w14:schemeClr w14:val="tx1"/>
            </w14:solidFill>
          </w14:textFill>
        </w:rPr>
        <w:t>需对设备提供为期2年的质量保证。</w:t>
      </w:r>
    </w:p>
    <w:p w14:paraId="22A23EC3">
      <w:pPr>
        <w:spacing w:line="480" w:lineRule="exact"/>
        <w:ind w:firstLine="480" w:firstLineChars="200"/>
        <w:rPr>
          <w:rFonts w:ascii="Calibri" w:hAnsi="Calibri" w:eastAsia="Arial" w:cs="Times New Roman"/>
          <w:color w:val="000000" w:themeColor="text1"/>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（1）质保期内对所采购的软硬件产品提供免费维保升级服务；</w:t>
      </w:r>
      <w:r>
        <w:rPr>
          <w:rFonts w:hint="eastAsia" w:ascii="Times New Roman" w:hAnsi="Times New Roman" w:eastAsia="宋体" w:cs="Times New Roman"/>
          <w:color w:val="000000" w:themeColor="text1"/>
          <w:kern w:val="2"/>
          <w:sz w:val="24"/>
          <w:szCs w:val="24"/>
          <w:highlight w:val="none"/>
          <w14:textFill>
            <w14:solidFill>
              <w14:schemeClr w14:val="tx1"/>
            </w14:solidFill>
          </w14:textFill>
        </w:rPr>
        <w:t>质保期内出现质量问题的，乙方应在接到通知后24小时内响应，48小时内完成维修/更换。同一问题维修3次仍未解决的，甲方有权解除合同并要求返还已付款项。</w:t>
      </w:r>
    </w:p>
    <w:p w14:paraId="3E7F1F82">
      <w:pPr>
        <w:widowControl/>
        <w:spacing w:line="480" w:lineRule="exact"/>
        <w:ind w:firstLine="480" w:firstLineChars="200"/>
        <w:jc w:val="left"/>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（2）质保期外，供应商应保证备品备件的有偿充足的供应；</w:t>
      </w:r>
    </w:p>
    <w:p w14:paraId="451A35F6">
      <w:pPr>
        <w:widowControl/>
        <w:spacing w:line="480" w:lineRule="exact"/>
        <w:ind w:firstLine="480" w:firstLineChars="200"/>
        <w:jc w:val="left"/>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（3）质保期外，提供免费电话咨询技术支持服务，接到运维问题报告后24小时内响应处理，远程指导运维人员修护，如有必要协调技术人员现场有偿技术指导。</w:t>
      </w:r>
    </w:p>
    <w:p w14:paraId="720B7E50">
      <w:pPr>
        <w:spacing w:line="480" w:lineRule="exact"/>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八、付款方式与履约保证金</w:t>
      </w:r>
    </w:p>
    <w:p w14:paraId="16B30E6A">
      <w:pPr>
        <w:widowControl/>
        <w:spacing w:line="480" w:lineRule="exact"/>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Arial" w:cs="宋体"/>
          <w:b/>
          <w:bCs/>
          <w:color w:val="000000" w:themeColor="text1"/>
          <w:sz w:val="24"/>
          <w:szCs w:val="24"/>
          <w:highlight w:val="none"/>
          <w14:textFill>
            <w14:solidFill>
              <w14:schemeClr w14:val="tx1"/>
            </w14:solidFill>
          </w14:textFill>
        </w:rPr>
        <w:t>★</w:t>
      </w:r>
      <w:r>
        <w:rPr>
          <w:rFonts w:hint="eastAsia" w:ascii="宋体" w:hAnsi="宋体" w:eastAsia="Arial" w:cs="宋体"/>
          <w:color w:val="000000" w:themeColor="text1"/>
          <w:sz w:val="24"/>
          <w:szCs w:val="24"/>
          <w:highlight w:val="none"/>
          <w14:textFill>
            <w14:solidFill>
              <w14:schemeClr w14:val="tx1"/>
            </w14:solidFill>
          </w14:textFill>
        </w:rPr>
        <w:t>1、付款方式：</w:t>
      </w:r>
    </w:p>
    <w:p w14:paraId="50963C3D">
      <w:pPr>
        <w:numPr>
          <w:ilvl w:val="0"/>
          <w:numId w:val="7"/>
        </w:numPr>
        <w:spacing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合同签订后，预付合同价款的30%作为预付款；</w:t>
      </w:r>
      <w:r>
        <w:rPr>
          <w:rFonts w:ascii="宋体" w:hAnsi="宋体" w:eastAsia="宋体" w:cs="宋体"/>
          <w:b/>
          <w:bCs/>
          <w:color w:val="000000" w:themeColor="text1"/>
          <w:sz w:val="24"/>
          <w:szCs w:val="24"/>
          <w:highlight w:val="none"/>
          <w14:textFill>
            <w14:solidFill>
              <w14:schemeClr w14:val="tx1"/>
            </w14:solidFill>
          </w14:textFill>
        </w:rPr>
        <w:t>工程按进度付款</w:t>
      </w:r>
      <w:r>
        <w:rPr>
          <w:rFonts w:hint="eastAsia" w:ascii="宋体" w:hAnsi="宋体" w:eastAsia="宋体" w:cs="宋体"/>
          <w:b/>
          <w:bCs/>
          <w:color w:val="000000" w:themeColor="text1"/>
          <w:sz w:val="24"/>
          <w:szCs w:val="24"/>
          <w:highlight w:val="none"/>
          <w14:textFill>
            <w14:solidFill>
              <w14:schemeClr w14:val="tx1"/>
            </w14:solidFill>
          </w14:textFill>
        </w:rPr>
        <w:t>，</w:t>
      </w:r>
      <w:r>
        <w:rPr>
          <w:rFonts w:ascii="宋体" w:hAnsi="宋体" w:eastAsia="宋体" w:cs="宋体"/>
          <w:b/>
          <w:bCs/>
          <w:color w:val="000000" w:themeColor="text1"/>
          <w:sz w:val="24"/>
          <w:szCs w:val="24"/>
          <w:highlight w:val="none"/>
          <w14:textFill>
            <w14:solidFill>
              <w14:schemeClr w14:val="tx1"/>
            </w14:solidFill>
          </w14:textFill>
        </w:rPr>
        <w:t>完工验收</w:t>
      </w:r>
      <w:r>
        <w:rPr>
          <w:rFonts w:hint="eastAsia" w:ascii="宋体" w:hAnsi="宋体" w:eastAsia="宋体" w:cs="宋体"/>
          <w:b/>
          <w:bCs/>
          <w:color w:val="000000" w:themeColor="text1"/>
          <w:sz w:val="24"/>
          <w:szCs w:val="24"/>
          <w:highlight w:val="none"/>
          <w14:textFill>
            <w14:solidFill>
              <w14:schemeClr w14:val="tx1"/>
            </w14:solidFill>
          </w14:textFill>
        </w:rPr>
        <w:t>合格后付至结算价的90%；工程审计结束后</w:t>
      </w:r>
      <w:r>
        <w:rPr>
          <w:rFonts w:ascii="宋体" w:hAnsi="宋体" w:eastAsia="宋体" w:cs="宋体"/>
          <w:b/>
          <w:bCs/>
          <w:color w:val="000000" w:themeColor="text1"/>
          <w:sz w:val="24"/>
          <w:szCs w:val="24"/>
          <w:highlight w:val="none"/>
          <w14:textFill>
            <w14:solidFill>
              <w14:schemeClr w14:val="tx1"/>
            </w14:solidFill>
          </w14:textFill>
        </w:rPr>
        <w:t>付至</w:t>
      </w:r>
      <w:r>
        <w:rPr>
          <w:rFonts w:hint="eastAsia" w:ascii="宋体" w:hAnsi="宋体" w:eastAsia="宋体" w:cs="宋体"/>
          <w:b/>
          <w:bCs/>
          <w:color w:val="000000" w:themeColor="text1"/>
          <w:sz w:val="24"/>
          <w:szCs w:val="24"/>
          <w:highlight w:val="none"/>
          <w14:textFill>
            <w14:solidFill>
              <w14:schemeClr w14:val="tx1"/>
            </w14:solidFill>
          </w14:textFill>
        </w:rPr>
        <w:t>审定价</w:t>
      </w:r>
      <w:r>
        <w:rPr>
          <w:rFonts w:ascii="宋体" w:hAnsi="宋体" w:eastAsia="宋体" w:cs="宋体"/>
          <w:b/>
          <w:bCs/>
          <w:color w:val="000000" w:themeColor="text1"/>
          <w:sz w:val="24"/>
          <w:szCs w:val="24"/>
          <w:highlight w:val="none"/>
          <w14:textFill>
            <w14:solidFill>
              <w14:schemeClr w14:val="tx1"/>
            </w14:solidFill>
          </w14:textFill>
        </w:rPr>
        <w:t>的97%，</w:t>
      </w:r>
      <w:r>
        <w:rPr>
          <w:rFonts w:hint="eastAsia" w:ascii="宋体" w:hAnsi="宋体" w:eastAsia="宋体" w:cs="宋体"/>
          <w:b/>
          <w:bCs/>
          <w:color w:val="000000" w:themeColor="text1"/>
          <w:sz w:val="24"/>
          <w:szCs w:val="24"/>
          <w:highlight w:val="none"/>
          <w14:textFill>
            <w14:solidFill>
              <w14:schemeClr w14:val="tx1"/>
            </w14:solidFill>
          </w14:textFill>
        </w:rPr>
        <w:t>余款质保期满无息付清。</w:t>
      </w:r>
    </w:p>
    <w:p w14:paraId="7AAF5C5D">
      <w:pPr>
        <w:spacing w:line="360" w:lineRule="auto"/>
        <w:ind w:firstLine="482" w:firstLineChars="200"/>
        <w:jc w:val="left"/>
        <w:rPr>
          <w:rFonts w:ascii="Calibri" w:hAnsi="Calibri" w:eastAsia="宋体" w:cs="Times New Roman"/>
          <w:color w:val="000000" w:themeColor="text1"/>
          <w:kern w:val="2"/>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p>
    <w:p w14:paraId="5B8884DB">
      <w:pPr>
        <w:spacing w:line="480" w:lineRule="exact"/>
        <w:ind w:firstLine="480" w:firstLineChars="200"/>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2、履约保证金</w:t>
      </w:r>
    </w:p>
    <w:p w14:paraId="7E2A3E17">
      <w:pPr>
        <w:spacing w:line="480" w:lineRule="exact"/>
        <w:ind w:firstLine="480" w:firstLineChars="200"/>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本项目不收取履约保证金。</w:t>
      </w:r>
    </w:p>
    <w:p w14:paraId="60CEBF99">
      <w:pPr>
        <w:spacing w:line="480" w:lineRule="exact"/>
        <w:ind w:firstLine="480" w:firstLineChars="200"/>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九、报价要求</w:t>
      </w:r>
    </w:p>
    <w:p w14:paraId="245EF06D">
      <w:pPr>
        <w:autoSpaceDE w:val="0"/>
        <w:autoSpaceDN w:val="0"/>
        <w:spacing w:line="480" w:lineRule="exact"/>
        <w:ind w:firstLine="480" w:firstLineChars="200"/>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lang w:val="zh-CN"/>
          <w14:textFill>
            <w14:solidFill>
              <w14:schemeClr w14:val="tx1"/>
            </w14:solidFill>
          </w14:textFill>
        </w:rPr>
        <w:t>1．报价币种为人民币。投标人</w:t>
      </w:r>
      <w:r>
        <w:rPr>
          <w:rFonts w:hint="eastAsia" w:ascii="宋体" w:hAnsi="宋体" w:eastAsia="Arial" w:cs="宋体"/>
          <w:color w:val="000000" w:themeColor="text1"/>
          <w:sz w:val="24"/>
          <w:szCs w:val="24"/>
          <w:highlight w:val="none"/>
          <w14:textFill>
            <w14:solidFill>
              <w14:schemeClr w14:val="tx1"/>
            </w14:solidFill>
          </w14:textFill>
        </w:rPr>
        <w:t>按需求清单进行报价。</w:t>
      </w:r>
    </w:p>
    <w:p w14:paraId="228CAA83">
      <w:pPr>
        <w:autoSpaceDE w:val="0"/>
        <w:autoSpaceDN w:val="0"/>
        <w:spacing w:line="480" w:lineRule="exact"/>
        <w:ind w:firstLine="480" w:firstLineChars="200"/>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lang w:val="zh-CN"/>
          <w14:textFill>
            <w14:solidFill>
              <w14:schemeClr w14:val="tx1"/>
            </w14:solidFill>
          </w14:textFill>
        </w:rPr>
        <w:t>2．投标报价包括开发、测试、验收、培训、保险、人工费用、管理、质保、税费、利润、完成合同所需的一切本身和不可或缺的所有工作开支，政策性文件规定及合同包含的所有风险、责任和管理等各项全部费用。</w:t>
      </w:r>
    </w:p>
    <w:p w14:paraId="1103312B">
      <w:pPr>
        <w:spacing w:line="480" w:lineRule="exact"/>
        <w:ind w:firstLine="480" w:firstLineChars="200"/>
        <w:rPr>
          <w:rFonts w:ascii="宋体" w:hAnsi="宋体" w:eastAsia="Arial" w:cs="宋体"/>
          <w:b/>
          <w:color w:val="000000" w:themeColor="text1"/>
          <w:sz w:val="24"/>
          <w:szCs w:val="24"/>
          <w:highlight w:val="non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十、其他</w:t>
      </w:r>
    </w:p>
    <w:p w14:paraId="67A4EB8D">
      <w:pPr>
        <w:spacing w:line="480" w:lineRule="exact"/>
        <w:ind w:firstLine="480" w:firstLineChars="200"/>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本项目报价不得超过预算价（最高限价）。</w:t>
      </w:r>
    </w:p>
    <w:p w14:paraId="7EAE6EFC">
      <w:pPr>
        <w:spacing w:line="480" w:lineRule="exact"/>
        <w:ind w:firstLine="480" w:firstLineChars="200"/>
        <w:rPr>
          <w:rFonts w:ascii="宋体" w:hAnsi="宋体" w:eastAsia="Arial" w:cs="宋体"/>
          <w:color w:val="000000" w:themeColor="text1"/>
          <w:sz w:val="24"/>
          <w:szCs w:val="24"/>
          <w:highlight w:val="none"/>
          <w14:textFill>
            <w14:solidFill>
              <w14:schemeClr w14:val="tx1"/>
            </w14:solidFill>
          </w14:textFill>
        </w:rPr>
      </w:pPr>
      <w:r>
        <w:rPr>
          <w:rFonts w:hint="eastAsia" w:ascii="宋体" w:hAnsi="宋体" w:eastAsia="Arial" w:cs="宋体"/>
          <w:color w:val="000000" w:themeColor="text1"/>
          <w:sz w:val="24"/>
          <w:szCs w:val="24"/>
          <w:highlight w:val="none"/>
          <w14:textFill>
            <w14:solidFill>
              <w14:schemeClr w14:val="tx1"/>
            </w14:solidFill>
          </w14:textFill>
        </w:rPr>
        <w:t>工作中涉及的敏感资料、电子数据等相关信息，中标供应商应严格执行保密的相关规定，不得以任何方式向任何第三人披露、泄露或许可第三人使用，否则追究其相应法律责任。</w:t>
      </w:r>
    </w:p>
    <w:p w14:paraId="55D2D7DE">
      <w:pPr>
        <w:spacing w:before="480" w:line="500" w:lineRule="exact"/>
        <w:ind w:firstLine="1760"/>
        <w:outlineLvl w:val="0"/>
        <w:rPr>
          <w:rFonts w:ascii="Calibri" w:hAnsi="Calibri" w:eastAsia="黑体" w:cs="Times New Roman"/>
          <w:color w:val="000000" w:themeColor="text1"/>
          <w:sz w:val="44"/>
          <w:szCs w:val="44"/>
          <w:highlight w:val="none"/>
          <w14:textFill>
            <w14:solidFill>
              <w14:schemeClr w14:val="tx1"/>
            </w14:solidFill>
          </w14:textFill>
        </w:rPr>
        <w:sectPr>
          <w:pgSz w:w="11906" w:h="16838"/>
          <w:pgMar w:top="1142" w:right="1304" w:bottom="1285" w:left="1588" w:header="851" w:footer="992" w:gutter="0"/>
          <w:cols w:space="720" w:num="1"/>
          <w:docGrid w:linePitch="360" w:charSpace="0"/>
        </w:sectPr>
      </w:pPr>
      <w:bookmarkStart w:id="74" w:name="_Toc8589"/>
      <w:bookmarkStart w:id="75" w:name="_Toc7678"/>
      <w:bookmarkStart w:id="76" w:name="_Toc13926"/>
    </w:p>
    <w:p w14:paraId="696C2023">
      <w:pPr>
        <w:spacing w:before="480" w:line="500" w:lineRule="exact"/>
        <w:ind w:firstLine="1760"/>
        <w:outlineLvl w:val="0"/>
        <w:rPr>
          <w:rFonts w:ascii="宋体" w:hAnsi="宋体" w:eastAsia="楷体_GB2312" w:cs="Times New Roman"/>
          <w:b/>
          <w:color w:val="000000" w:themeColor="text1"/>
          <w:sz w:val="36"/>
          <w:szCs w:val="36"/>
          <w:highlight w:val="none"/>
          <w14:textFill>
            <w14:solidFill>
              <w14:schemeClr w14:val="tx1"/>
            </w14:solidFill>
          </w14:textFill>
        </w:rPr>
      </w:pPr>
      <w:r>
        <w:rPr>
          <w:rFonts w:ascii="Calibri" w:hAnsi="Calibri" w:eastAsia="黑体" w:cs="Times New Roman"/>
          <w:color w:val="000000" w:themeColor="text1"/>
          <w:sz w:val="44"/>
          <w:szCs w:val="44"/>
          <w:highlight w:val="none"/>
          <w14:textFill>
            <w14:solidFill>
              <w14:schemeClr w14:val="tx1"/>
            </w14:solidFill>
          </w14:textFill>
        </w:rPr>
        <w:t>第</w:t>
      </w:r>
      <w:r>
        <w:rPr>
          <w:rFonts w:hint="eastAsia" w:ascii="Calibri" w:hAnsi="Calibri" w:eastAsia="黑体" w:cs="Times New Roman"/>
          <w:color w:val="000000" w:themeColor="text1"/>
          <w:sz w:val="44"/>
          <w:szCs w:val="44"/>
          <w:highlight w:val="none"/>
          <w14:textFill>
            <w14:solidFill>
              <w14:schemeClr w14:val="tx1"/>
            </w14:solidFill>
          </w14:textFill>
        </w:rPr>
        <w:t>七</w:t>
      </w:r>
      <w:r>
        <w:rPr>
          <w:rFonts w:ascii="Calibri" w:hAnsi="Calibri" w:eastAsia="黑体" w:cs="Times New Roman"/>
          <w:color w:val="000000" w:themeColor="text1"/>
          <w:sz w:val="44"/>
          <w:szCs w:val="44"/>
          <w:highlight w:val="none"/>
          <w14:textFill>
            <w14:solidFill>
              <w14:schemeClr w14:val="tx1"/>
            </w14:solidFill>
          </w14:textFill>
        </w:rPr>
        <w:t>章</w:t>
      </w:r>
      <w:r>
        <w:rPr>
          <w:rFonts w:hint="eastAsia" w:ascii="黑体" w:hAnsi="Calibri" w:eastAsia="黑体" w:cs="Times New Roman"/>
          <w:color w:val="000000" w:themeColor="text1"/>
          <w:sz w:val="44"/>
          <w:szCs w:val="44"/>
          <w:highlight w:val="none"/>
          <w14:textFill>
            <w14:solidFill>
              <w14:schemeClr w14:val="tx1"/>
            </w14:solidFill>
          </w14:textFill>
        </w:rPr>
        <w:t xml:space="preserve"> 评审方法和评审标准</w:t>
      </w:r>
    </w:p>
    <w:p w14:paraId="6F45861E">
      <w:pPr>
        <w:spacing w:before="120" w:after="120" w:line="440" w:lineRule="exact"/>
        <w:jc w:val="left"/>
        <w:rPr>
          <w:rFonts w:ascii="宋体" w:hAnsi="Arial" w:eastAsia="宋体" w:cs="Times New Roman"/>
          <w:b/>
          <w:bCs/>
          <w:color w:val="000000" w:themeColor="text1"/>
          <w:sz w:val="24"/>
          <w:szCs w:val="24"/>
          <w:highlight w:val="none"/>
          <w14:textFill>
            <w14:solidFill>
              <w14:schemeClr w14:val="tx1"/>
            </w14:solidFill>
          </w14:textFill>
        </w:rPr>
      </w:pPr>
      <w:r>
        <w:rPr>
          <w:rFonts w:hint="eastAsia" w:ascii="宋体" w:hAnsi="Arial" w:eastAsia="宋体" w:cs="Times New Roman"/>
          <w:b/>
          <w:bCs/>
          <w:color w:val="000000" w:themeColor="text1"/>
          <w:sz w:val="24"/>
          <w:szCs w:val="24"/>
          <w:highlight w:val="none"/>
          <w14:textFill>
            <w14:solidFill>
              <w14:schemeClr w14:val="tx1"/>
            </w14:solidFill>
          </w14:textFill>
        </w:rPr>
        <w:t>一、</w:t>
      </w:r>
      <w:r>
        <w:rPr>
          <w:rFonts w:hint="eastAsia" w:ascii="宋体" w:hAnsi="Arial" w:eastAsia="宋体" w:cs="Times New Roman"/>
          <w:b/>
          <w:color w:val="000000" w:themeColor="text1"/>
          <w:sz w:val="24"/>
          <w:szCs w:val="24"/>
          <w:highlight w:val="none"/>
          <w14:textFill>
            <w14:solidFill>
              <w14:schemeClr w14:val="tx1"/>
            </w14:solidFill>
          </w14:textFill>
        </w:rPr>
        <w:t>磋商小组：</w:t>
      </w:r>
    </w:p>
    <w:p w14:paraId="6A0A2C9C">
      <w:pPr>
        <w:spacing w:before="120" w:after="120" w:line="440" w:lineRule="exact"/>
        <w:ind w:firstLine="480"/>
        <w:jc w:val="left"/>
        <w:rPr>
          <w:rFonts w:ascii="宋体" w:hAnsi="Arial" w:eastAsia="宋体" w:cs="Times New Roman"/>
          <w:bCs/>
          <w:color w:val="000000" w:themeColor="text1"/>
          <w:sz w:val="24"/>
          <w:szCs w:val="24"/>
          <w:highlight w:val="none"/>
          <w14:textFill>
            <w14:solidFill>
              <w14:schemeClr w14:val="tx1"/>
            </w14:solidFill>
          </w14:textFill>
        </w:rPr>
      </w:pPr>
      <w:r>
        <w:rPr>
          <w:rFonts w:hint="eastAsia" w:ascii="宋体" w:hAnsi="Arial" w:eastAsia="宋体" w:cs="Times New Roman"/>
          <w:bCs/>
          <w:color w:val="000000" w:themeColor="text1"/>
          <w:sz w:val="24"/>
          <w:szCs w:val="24"/>
          <w:highlight w:val="none"/>
          <w14:textFill>
            <w14:solidFill>
              <w14:schemeClr w14:val="tx1"/>
            </w14:solidFill>
          </w14:textFill>
        </w:rPr>
        <w:t>本采购项目磋商小组由采购人代表和评审专家组成。</w:t>
      </w:r>
    </w:p>
    <w:p w14:paraId="6EF331C1">
      <w:pPr>
        <w:spacing w:before="120" w:after="120" w:line="440" w:lineRule="exact"/>
        <w:jc w:val="left"/>
        <w:rPr>
          <w:rFonts w:ascii="宋体" w:hAnsi="Arial" w:eastAsia="宋体" w:cs="Times New Roman"/>
          <w:b/>
          <w:bCs/>
          <w:color w:val="000000" w:themeColor="text1"/>
          <w:sz w:val="24"/>
          <w:szCs w:val="24"/>
          <w:highlight w:val="none"/>
          <w14:textFill>
            <w14:solidFill>
              <w14:schemeClr w14:val="tx1"/>
            </w14:solidFill>
          </w14:textFill>
        </w:rPr>
      </w:pPr>
      <w:r>
        <w:rPr>
          <w:rFonts w:hint="eastAsia" w:ascii="宋体" w:hAnsi="Arial" w:eastAsia="宋体" w:cs="Times New Roman"/>
          <w:b/>
          <w:bCs/>
          <w:color w:val="000000" w:themeColor="text1"/>
          <w:sz w:val="24"/>
          <w:szCs w:val="24"/>
          <w:highlight w:val="none"/>
          <w14:textFill>
            <w14:solidFill>
              <w14:schemeClr w14:val="tx1"/>
            </w14:solidFill>
          </w14:textFill>
        </w:rPr>
        <w:t>二</w:t>
      </w:r>
      <w:r>
        <w:rPr>
          <w:rFonts w:hint="eastAsia" w:ascii="宋体" w:hAnsi="Arial" w:eastAsia="宋体" w:cs="Times New Roman"/>
          <w:b/>
          <w:color w:val="000000" w:themeColor="text1"/>
          <w:sz w:val="24"/>
          <w:szCs w:val="24"/>
          <w:highlight w:val="none"/>
          <w14:textFill>
            <w14:solidFill>
              <w14:schemeClr w14:val="tx1"/>
            </w14:solidFill>
          </w14:textFill>
        </w:rPr>
        <w:t>、评审方法：</w:t>
      </w:r>
      <w:r>
        <w:rPr>
          <w:rFonts w:hint="eastAsia" w:ascii="宋体" w:hAnsi="Arial" w:eastAsia="宋体" w:cs="Times New Roman"/>
          <w:b/>
          <w:bCs/>
          <w:color w:val="000000" w:themeColor="text1"/>
          <w:sz w:val="24"/>
          <w:szCs w:val="24"/>
          <w:highlight w:val="none"/>
          <w14:textFill>
            <w14:solidFill>
              <w14:schemeClr w14:val="tx1"/>
            </w14:solidFill>
          </w14:textFill>
        </w:rPr>
        <w:t>综合评分法</w:t>
      </w:r>
    </w:p>
    <w:p w14:paraId="353BDAE7">
      <w:pPr>
        <w:spacing w:before="120" w:after="120" w:line="440" w:lineRule="exact"/>
        <w:ind w:firstLine="480"/>
        <w:jc w:val="left"/>
        <w:rPr>
          <w:rFonts w:ascii="宋体" w:hAnsi="Arial" w:eastAsia="宋体" w:cs="Times New Roman"/>
          <w:color w:val="000000" w:themeColor="text1"/>
          <w:sz w:val="24"/>
          <w:szCs w:val="24"/>
          <w:highlight w:val="none"/>
          <w14:textFill>
            <w14:solidFill>
              <w14:schemeClr w14:val="tx1"/>
            </w14:solidFill>
          </w14:textFill>
        </w:rPr>
      </w:pPr>
      <w:r>
        <w:rPr>
          <w:rFonts w:hint="eastAsia" w:ascii="宋体" w:hAnsi="Arial" w:eastAsia="宋体" w:cs="Times New Roman"/>
          <w:color w:val="000000" w:themeColor="text1"/>
          <w:sz w:val="24"/>
          <w:szCs w:val="24"/>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2E8C1D2A">
      <w:pPr>
        <w:spacing w:before="120" w:after="120" w:line="440" w:lineRule="exact"/>
        <w:ind w:firstLine="480"/>
        <w:jc w:val="left"/>
        <w:rPr>
          <w:rFonts w:ascii="宋体" w:hAnsi="Arial" w:eastAsia="宋体" w:cs="Times New Roman"/>
          <w:color w:val="000000" w:themeColor="text1"/>
          <w:sz w:val="24"/>
          <w:szCs w:val="24"/>
          <w:highlight w:val="none"/>
          <w14:textFill>
            <w14:solidFill>
              <w14:schemeClr w14:val="tx1"/>
            </w14:solidFill>
          </w14:textFill>
        </w:rPr>
      </w:pPr>
      <w:r>
        <w:rPr>
          <w:rFonts w:hint="eastAsia" w:ascii="宋体" w:hAnsi="Arial" w:eastAsia="宋体" w:cs="Times New Roman"/>
          <w:color w:val="000000" w:themeColor="text1"/>
          <w:sz w:val="24"/>
          <w:szCs w:val="24"/>
          <w:highlight w:val="none"/>
          <w14:textFill>
            <w14:solidFill>
              <w14:schemeClr w14:val="tx1"/>
            </w14:solidFill>
          </w14:textFill>
        </w:rPr>
        <w:t>综合评分法，是指响应文件满足磋商文件全部实质性要求且按评审因素的量化指标评审得分最高的供应商为成交候选供应商的评审方法。</w:t>
      </w:r>
    </w:p>
    <w:p w14:paraId="6FF786AE">
      <w:pPr>
        <w:spacing w:before="120" w:after="120" w:line="440" w:lineRule="exact"/>
        <w:jc w:val="left"/>
        <w:rPr>
          <w:rFonts w:ascii="宋体" w:hAnsi="Arial" w:eastAsia="宋体" w:cs="Times New Roman"/>
          <w:b/>
          <w:bCs/>
          <w:color w:val="000000" w:themeColor="text1"/>
          <w:sz w:val="24"/>
          <w:szCs w:val="24"/>
          <w:highlight w:val="none"/>
          <w14:textFill>
            <w14:solidFill>
              <w14:schemeClr w14:val="tx1"/>
            </w14:solidFill>
          </w14:textFill>
        </w:rPr>
      </w:pPr>
      <w:r>
        <w:rPr>
          <w:rFonts w:hint="eastAsia" w:ascii="宋体" w:hAnsi="Arial" w:eastAsia="宋体" w:cs="Times New Roman"/>
          <w:b/>
          <w:bCs/>
          <w:color w:val="000000" w:themeColor="text1"/>
          <w:sz w:val="24"/>
          <w:szCs w:val="24"/>
          <w:highlight w:val="none"/>
          <w14:textFill>
            <w14:solidFill>
              <w14:schemeClr w14:val="tx1"/>
            </w14:solidFill>
          </w14:textFill>
        </w:rPr>
        <w:t>三、</w:t>
      </w:r>
      <w:r>
        <w:rPr>
          <w:rFonts w:hint="eastAsia" w:ascii="宋体" w:hAnsi="Arial" w:eastAsia="宋体" w:cs="Times New Roman"/>
          <w:b/>
          <w:color w:val="000000" w:themeColor="text1"/>
          <w:sz w:val="24"/>
          <w:szCs w:val="24"/>
          <w:highlight w:val="none"/>
          <w14:textFill>
            <w14:solidFill>
              <w14:schemeClr w14:val="tx1"/>
            </w14:solidFill>
          </w14:textFill>
        </w:rPr>
        <w:t>评审</w:t>
      </w:r>
      <w:r>
        <w:rPr>
          <w:rFonts w:hint="eastAsia" w:ascii="宋体" w:hAnsi="Arial" w:eastAsia="宋体" w:cs="Times New Roman"/>
          <w:b/>
          <w:bCs/>
          <w:color w:val="000000" w:themeColor="text1"/>
          <w:sz w:val="24"/>
          <w:szCs w:val="24"/>
          <w:highlight w:val="none"/>
          <w14:textFill>
            <w14:solidFill>
              <w14:schemeClr w14:val="tx1"/>
            </w14:solidFill>
          </w14:textFill>
        </w:rPr>
        <w:t>原则：</w:t>
      </w:r>
    </w:p>
    <w:p w14:paraId="7492635B">
      <w:pPr>
        <w:spacing w:before="120" w:after="120" w:line="440" w:lineRule="exact"/>
        <w:ind w:firstLine="480"/>
        <w:jc w:val="left"/>
        <w:rPr>
          <w:rFonts w:ascii="宋体" w:hAnsi="Arial" w:eastAsia="宋体" w:cs="Times New Roman"/>
          <w:bCs/>
          <w:color w:val="000000" w:themeColor="text1"/>
          <w:sz w:val="24"/>
          <w:szCs w:val="24"/>
          <w:highlight w:val="none"/>
          <w14:textFill>
            <w14:solidFill>
              <w14:schemeClr w14:val="tx1"/>
            </w14:solidFill>
          </w14:textFill>
        </w:rPr>
      </w:pPr>
      <w:r>
        <w:rPr>
          <w:rFonts w:hint="eastAsia" w:ascii="宋体" w:hAnsi="Arial" w:eastAsia="宋体" w:cs="Times New Roman"/>
          <w:color w:val="000000" w:themeColor="text1"/>
          <w:sz w:val="24"/>
          <w:szCs w:val="24"/>
          <w:highlight w:val="none"/>
          <w14:textFill>
            <w14:solidFill>
              <w14:schemeClr w14:val="tx1"/>
            </w14:solidFill>
          </w14:textFill>
        </w:rPr>
        <w:t>磋商小组</w:t>
      </w:r>
      <w:r>
        <w:rPr>
          <w:rFonts w:hint="eastAsia" w:ascii="宋体" w:hAnsi="Arial" w:eastAsia="宋体" w:cs="Times New Roman"/>
          <w:bCs/>
          <w:color w:val="000000" w:themeColor="text1"/>
          <w:sz w:val="24"/>
          <w:szCs w:val="24"/>
          <w:highlight w:val="none"/>
          <w14:textFill>
            <w14:solidFill>
              <w14:schemeClr w14:val="tx1"/>
            </w14:solidFill>
          </w14:textFill>
        </w:rPr>
        <w:t>必须客观、公正、审慎，不带任何倾向性和启发性；不得向外界透露任何与评审有关的内容；任何单位和个人不得干扰、影响评审的正常进行；磋商小组及有关工作人员不得私下与供应商接触。</w:t>
      </w:r>
    </w:p>
    <w:p w14:paraId="14D95A76">
      <w:pPr>
        <w:spacing w:before="120" w:after="120" w:line="440" w:lineRule="exact"/>
        <w:jc w:val="left"/>
        <w:rPr>
          <w:rFonts w:ascii="宋体" w:hAnsi="Arial" w:eastAsia="宋体" w:cs="Times New Roman"/>
          <w:b/>
          <w:bCs/>
          <w:color w:val="000000" w:themeColor="text1"/>
          <w:sz w:val="24"/>
          <w:szCs w:val="24"/>
          <w:highlight w:val="none"/>
          <w14:textFill>
            <w14:solidFill>
              <w14:schemeClr w14:val="tx1"/>
            </w14:solidFill>
          </w14:textFill>
        </w:rPr>
      </w:pPr>
      <w:r>
        <w:rPr>
          <w:rFonts w:hint="eastAsia" w:ascii="宋体" w:hAnsi="Arial" w:eastAsia="宋体" w:cs="Times New Roman"/>
          <w:b/>
          <w:bCs/>
          <w:color w:val="000000" w:themeColor="text1"/>
          <w:sz w:val="24"/>
          <w:szCs w:val="24"/>
          <w:highlight w:val="none"/>
          <w14:textFill>
            <w14:solidFill>
              <w14:schemeClr w14:val="tx1"/>
            </w14:solidFill>
          </w14:textFill>
        </w:rPr>
        <w:t xml:space="preserve">四、评审标准： </w:t>
      </w:r>
    </w:p>
    <w:p w14:paraId="436FB58C">
      <w:pPr>
        <w:spacing w:before="120" w:after="120" w:line="440" w:lineRule="exact"/>
        <w:ind w:firstLine="480"/>
        <w:jc w:val="left"/>
        <w:rPr>
          <w:rFonts w:ascii="宋体" w:hAnsi="Arial" w:eastAsia="宋体" w:cs="Times New Roman"/>
          <w:bCs/>
          <w:color w:val="000000" w:themeColor="text1"/>
          <w:sz w:val="24"/>
          <w:szCs w:val="24"/>
          <w:highlight w:val="none"/>
          <w14:textFill>
            <w14:solidFill>
              <w14:schemeClr w14:val="tx1"/>
            </w14:solidFill>
          </w14:textFill>
        </w:rPr>
      </w:pPr>
      <w:r>
        <w:rPr>
          <w:rFonts w:hint="eastAsia" w:ascii="宋体" w:hAnsi="Arial" w:eastAsia="宋体" w:cs="Times New Roman"/>
          <w:bCs/>
          <w:color w:val="000000" w:themeColor="text1"/>
          <w:sz w:val="24"/>
          <w:szCs w:val="24"/>
          <w:highlight w:val="none"/>
          <w14:textFill>
            <w14:solidFill>
              <w14:schemeClr w14:val="tx1"/>
            </w14:solidFill>
          </w14:textFill>
        </w:rPr>
        <w:t>（一）评审时，磋商小组以磋商文件为评审依据，磋商小组各成员独立对每个有效响应的文件进行评价、打分，然后汇总每个供应商每项评分因素的得分。</w:t>
      </w:r>
    </w:p>
    <w:p w14:paraId="52577C32">
      <w:pPr>
        <w:spacing w:before="120" w:after="120" w:line="440" w:lineRule="exact"/>
        <w:ind w:firstLine="480"/>
        <w:jc w:val="left"/>
        <w:rPr>
          <w:rFonts w:ascii="宋体" w:hAnsi="Courier New" w:eastAsia="宋体" w:cs="Times New Roman"/>
          <w:bCs/>
          <w:color w:val="000000" w:themeColor="text1"/>
          <w:sz w:val="24"/>
          <w:szCs w:val="24"/>
          <w:highlight w:val="none"/>
          <w14:textFill>
            <w14:solidFill>
              <w14:schemeClr w14:val="tx1"/>
            </w14:solidFill>
          </w14:textFill>
        </w:rPr>
      </w:pPr>
      <w:r>
        <w:rPr>
          <w:rFonts w:hint="eastAsia" w:ascii="宋体" w:hAnsi="Courier New" w:eastAsia="宋体" w:cs="Times New Roman"/>
          <w:bCs/>
          <w:color w:val="000000" w:themeColor="text1"/>
          <w:sz w:val="24"/>
          <w:szCs w:val="24"/>
          <w:highlight w:val="none"/>
          <w14:textFill>
            <w14:solidFill>
              <w14:schemeClr w14:val="tx1"/>
            </w14:solidFill>
          </w14:textFill>
        </w:rPr>
        <w:t>（二）</w:t>
      </w:r>
      <w:r>
        <w:rPr>
          <w:rFonts w:hint="eastAsia" w:ascii="宋体" w:hAnsi="Courier New" w:eastAsia="宋体" w:cs="Times New Roman"/>
          <w:b/>
          <w:bCs/>
          <w:color w:val="000000" w:themeColor="text1"/>
          <w:sz w:val="24"/>
          <w:szCs w:val="24"/>
          <w:highlight w:val="none"/>
          <w14:textFill>
            <w14:solidFill>
              <w14:schemeClr w14:val="tx1"/>
            </w14:solidFill>
          </w14:textFill>
        </w:rPr>
        <w:t>本项目评分总分为100分</w:t>
      </w:r>
      <w:r>
        <w:rPr>
          <w:rFonts w:hint="eastAsia" w:ascii="宋体" w:hAnsi="Courier New" w:eastAsia="宋体" w:cs="Times New Roman"/>
          <w:bCs/>
          <w:color w:val="000000" w:themeColor="text1"/>
          <w:sz w:val="24"/>
          <w:szCs w:val="24"/>
          <w:highlight w:val="none"/>
          <w14:textFill>
            <w14:solidFill>
              <w14:schemeClr w14:val="tx1"/>
            </w14:solidFill>
          </w14:textFill>
        </w:rPr>
        <w:t>，按四舍五入取至小数点后两位。</w:t>
      </w:r>
    </w:p>
    <w:p w14:paraId="5EC87A28">
      <w:pPr>
        <w:spacing w:before="120" w:after="120" w:line="440" w:lineRule="exact"/>
        <w:ind w:firstLine="480"/>
        <w:jc w:val="left"/>
        <w:rPr>
          <w:rFonts w:ascii="宋体" w:hAnsi="Courier New" w:eastAsia="宋体" w:cs="Times New Roman"/>
          <w:bCs/>
          <w:color w:val="000000" w:themeColor="text1"/>
          <w:sz w:val="24"/>
          <w:szCs w:val="24"/>
          <w:highlight w:val="none"/>
          <w14:textFill>
            <w14:solidFill>
              <w14:schemeClr w14:val="tx1"/>
            </w14:solidFill>
          </w14:textFill>
        </w:rPr>
      </w:pPr>
      <w:r>
        <w:rPr>
          <w:rFonts w:hint="eastAsia" w:ascii="宋体" w:hAnsi="Courier New" w:eastAsia="宋体" w:cs="Times New Roman"/>
          <w:b/>
          <w:bCs/>
          <w:color w:val="000000" w:themeColor="text1"/>
          <w:sz w:val="24"/>
          <w:szCs w:val="24"/>
          <w:highlight w:val="none"/>
          <w14:textFill>
            <w14:solidFill>
              <w14:schemeClr w14:val="tx1"/>
            </w14:solidFill>
          </w14:textFill>
        </w:rPr>
        <w:t>（三）评分细则见下表</w:t>
      </w:r>
      <w:r>
        <w:rPr>
          <w:rFonts w:hint="eastAsia" w:ascii="宋体" w:hAnsi="Courier New" w:eastAsia="宋体" w:cs="Times New Roman"/>
          <w:bCs/>
          <w:color w:val="000000" w:themeColor="text1"/>
          <w:sz w:val="24"/>
          <w:szCs w:val="24"/>
          <w:highlight w:val="none"/>
          <w14:textFill>
            <w14:solidFill>
              <w14:schemeClr w14:val="tx1"/>
            </w14:solidFill>
          </w14:textFill>
        </w:rPr>
        <w:t>：</w:t>
      </w:r>
    </w:p>
    <w:tbl>
      <w:tblPr>
        <w:tblStyle w:val="51"/>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085"/>
        <w:gridCol w:w="708"/>
        <w:gridCol w:w="6858"/>
      </w:tblGrid>
      <w:tr w14:paraId="1CA5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tblHeader/>
          <w:jc w:val="center"/>
        </w:trPr>
        <w:tc>
          <w:tcPr>
            <w:tcW w:w="1123" w:type="pct"/>
            <w:gridSpan w:val="2"/>
            <w:tcBorders>
              <w:top w:val="single" w:color="auto" w:sz="4" w:space="0"/>
              <w:left w:val="single" w:color="auto" w:sz="4" w:space="0"/>
              <w:bottom w:val="single" w:color="auto" w:sz="4" w:space="0"/>
              <w:right w:val="single" w:color="auto" w:sz="4" w:space="0"/>
            </w:tcBorders>
            <w:vAlign w:val="center"/>
          </w:tcPr>
          <w:p w14:paraId="04AF3DAD">
            <w:pPr>
              <w:spacing w:line="400" w:lineRule="exact"/>
              <w:ind w:firstLine="440"/>
              <w:jc w:val="center"/>
              <w:rPr>
                <w:rFonts w:ascii="宋体" w:hAnsi="宋体" w:eastAsia="宋体" w:cs="宋体"/>
                <w:color w:val="000000" w:themeColor="text1"/>
                <w:sz w:val="22"/>
                <w:highlight w:val="none"/>
                <w14:textFill>
                  <w14:solidFill>
                    <w14:schemeClr w14:val="tx1"/>
                  </w14:solidFill>
                </w14:textFill>
              </w:rPr>
            </w:pPr>
            <w:bookmarkStart w:id="77" w:name="_Hlk212113282"/>
            <w:r>
              <w:rPr>
                <w:rFonts w:hint="eastAsia" w:ascii="宋体" w:hAnsi="宋体" w:eastAsia="宋体" w:cs="宋体"/>
                <w:color w:val="000000" w:themeColor="text1"/>
                <w:sz w:val="22"/>
                <w:highlight w:val="none"/>
                <w14:textFill>
                  <w14:solidFill>
                    <w14:schemeClr w14:val="tx1"/>
                  </w14:solidFill>
                </w14:textFill>
              </w:rPr>
              <w:t>评分项目</w:t>
            </w:r>
          </w:p>
        </w:tc>
        <w:tc>
          <w:tcPr>
            <w:tcW w:w="363" w:type="pct"/>
            <w:tcBorders>
              <w:top w:val="single" w:color="auto" w:sz="4" w:space="0"/>
              <w:left w:val="single" w:color="auto" w:sz="4" w:space="0"/>
              <w:bottom w:val="single" w:color="auto" w:sz="4" w:space="0"/>
              <w:right w:val="single" w:color="auto" w:sz="4" w:space="0"/>
            </w:tcBorders>
            <w:vAlign w:val="center"/>
          </w:tcPr>
          <w:p w14:paraId="76ABDB53">
            <w:pPr>
              <w:spacing w:line="400" w:lineRule="exact"/>
              <w:jc w:val="center"/>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分值</w:t>
            </w:r>
          </w:p>
        </w:tc>
        <w:tc>
          <w:tcPr>
            <w:tcW w:w="3514" w:type="pct"/>
            <w:tcBorders>
              <w:top w:val="single" w:color="auto" w:sz="4" w:space="0"/>
              <w:left w:val="single" w:color="auto" w:sz="4" w:space="0"/>
              <w:bottom w:val="single" w:color="auto" w:sz="4" w:space="0"/>
              <w:right w:val="single" w:color="auto" w:sz="4" w:space="0"/>
            </w:tcBorders>
            <w:vAlign w:val="center"/>
          </w:tcPr>
          <w:p w14:paraId="7B6C3FAF">
            <w:pPr>
              <w:spacing w:line="400" w:lineRule="exact"/>
              <w:ind w:firstLine="440"/>
              <w:jc w:val="center"/>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评分细则</w:t>
            </w:r>
          </w:p>
        </w:tc>
      </w:tr>
      <w:tr w14:paraId="02BF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1123" w:type="pct"/>
            <w:gridSpan w:val="2"/>
            <w:tcBorders>
              <w:top w:val="single" w:color="auto" w:sz="4" w:space="0"/>
              <w:left w:val="single" w:color="auto" w:sz="4" w:space="0"/>
              <w:right w:val="single" w:color="auto" w:sz="4" w:space="0"/>
            </w:tcBorders>
            <w:vAlign w:val="center"/>
          </w:tcPr>
          <w:p w14:paraId="5A3D7F81">
            <w:pPr>
              <w:spacing w:line="400" w:lineRule="exact"/>
              <w:jc w:val="center"/>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投标报价（30分）</w:t>
            </w:r>
          </w:p>
        </w:tc>
        <w:tc>
          <w:tcPr>
            <w:tcW w:w="363" w:type="pct"/>
            <w:tcBorders>
              <w:top w:val="single" w:color="auto" w:sz="4" w:space="0"/>
              <w:left w:val="single" w:color="auto" w:sz="4" w:space="0"/>
              <w:bottom w:val="single" w:color="auto" w:sz="4" w:space="0"/>
              <w:right w:val="single" w:color="auto" w:sz="4" w:space="0"/>
            </w:tcBorders>
            <w:vAlign w:val="center"/>
          </w:tcPr>
          <w:p w14:paraId="0DF1199C">
            <w:pPr>
              <w:spacing w:line="400" w:lineRule="exact"/>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30分</w:t>
            </w:r>
          </w:p>
        </w:tc>
        <w:tc>
          <w:tcPr>
            <w:tcW w:w="3514" w:type="pct"/>
            <w:tcBorders>
              <w:top w:val="single" w:color="auto" w:sz="4" w:space="0"/>
              <w:left w:val="single" w:color="auto" w:sz="4" w:space="0"/>
              <w:bottom w:val="single" w:color="auto" w:sz="4" w:space="0"/>
              <w:right w:val="single" w:color="auto" w:sz="4" w:space="0"/>
            </w:tcBorders>
            <w:vAlign w:val="center"/>
          </w:tcPr>
          <w:p w14:paraId="5A19A3C1">
            <w:pPr>
              <w:spacing w:line="400" w:lineRule="exact"/>
              <w:jc w:val="left"/>
              <w:rPr>
                <w:rFonts w:ascii="Arial" w:hAnsi="Arial" w:eastAsia="宋体" w:cs="Arial"/>
                <w:color w:val="000000" w:themeColor="text1"/>
                <w:szCs w:val="21"/>
                <w:highlight w:val="none"/>
                <w14:textFill>
                  <w14:solidFill>
                    <w14:schemeClr w14:val="tx1"/>
                  </w14:solidFill>
                </w14:textFill>
              </w:rPr>
            </w:pPr>
            <w:r>
              <w:rPr>
                <w:rFonts w:hint="eastAsia" w:ascii="Arial" w:hAnsi="Arial" w:eastAsia="宋体" w:cs="Arial"/>
                <w:color w:val="000000" w:themeColor="text1"/>
                <w:szCs w:val="21"/>
                <w:highlight w:val="none"/>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30</w:t>
            </w:r>
            <w:r>
              <w:rPr>
                <w:rFonts w:hint="eastAsia" w:ascii="Arial" w:hAnsi="Arial" w:eastAsia="宋体" w:cs="Arial"/>
                <w:color w:val="000000" w:themeColor="text1"/>
                <w:szCs w:val="21"/>
                <w:highlight w:val="none"/>
                <w14:textFill>
                  <w14:solidFill>
                    <w14:schemeClr w14:val="tx1"/>
                  </w14:solidFill>
                </w14:textFill>
              </w:rPr>
              <w:t>分</w:t>
            </w:r>
          </w:p>
          <w:p w14:paraId="34F148F1">
            <w:pPr>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项目评审过程中，不得去掉最后报价中的最高报价和最低报价。</w:t>
            </w:r>
          </w:p>
        </w:tc>
      </w:tr>
      <w:tr w14:paraId="1A1E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567" w:type="pct"/>
            <w:vMerge w:val="restart"/>
            <w:tcBorders>
              <w:top w:val="single" w:color="auto" w:sz="4" w:space="0"/>
              <w:left w:val="single" w:color="auto" w:sz="4" w:space="0"/>
              <w:right w:val="single" w:color="auto" w:sz="4" w:space="0"/>
            </w:tcBorders>
            <w:vAlign w:val="center"/>
          </w:tcPr>
          <w:p w14:paraId="11E4AF48">
            <w:pPr>
              <w:spacing w:line="400" w:lineRule="exact"/>
              <w:jc w:val="center"/>
              <w:rPr>
                <w:rFonts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商务评审</w:t>
            </w:r>
          </w:p>
          <w:p w14:paraId="627E666B">
            <w:pPr>
              <w:spacing w:line="400" w:lineRule="exact"/>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（35分）</w:t>
            </w:r>
          </w:p>
        </w:tc>
        <w:tc>
          <w:tcPr>
            <w:tcW w:w="556" w:type="pct"/>
            <w:tcBorders>
              <w:top w:val="single" w:color="auto" w:sz="4" w:space="0"/>
              <w:left w:val="single" w:color="auto" w:sz="4" w:space="0"/>
              <w:right w:val="single" w:color="auto" w:sz="4" w:space="0"/>
            </w:tcBorders>
            <w:vAlign w:val="center"/>
          </w:tcPr>
          <w:p w14:paraId="5450825F">
            <w:pPr>
              <w:spacing w:line="400" w:lineRule="exact"/>
              <w:jc w:val="center"/>
              <w:rPr>
                <w:rFonts w:ascii="宋体" w:hAnsi="宋体" w:eastAsia="宋体" w:cs="宋体"/>
                <w:color w:val="000000" w:themeColor="text1"/>
                <w:szCs w:val="21"/>
                <w:highlight w:val="none"/>
                <w14:textFill>
                  <w14:solidFill>
                    <w14:schemeClr w14:val="tx1"/>
                  </w14:solidFill>
                </w14:textFill>
              </w:rPr>
            </w:pPr>
            <w:r>
              <w:rPr>
                <w:rFonts w:hint="eastAsia" w:ascii="Calibri" w:hAnsi="Calibri" w:eastAsia="宋体" w:cs="宋体"/>
                <w:color w:val="000000" w:themeColor="text1"/>
                <w:szCs w:val="21"/>
                <w:highlight w:val="none"/>
                <w14:textFill>
                  <w14:solidFill>
                    <w14:schemeClr w14:val="tx1"/>
                  </w14:solidFill>
                </w14:textFill>
              </w:rPr>
              <w:t>企业业绩</w:t>
            </w:r>
          </w:p>
        </w:tc>
        <w:tc>
          <w:tcPr>
            <w:tcW w:w="363" w:type="pct"/>
            <w:tcBorders>
              <w:top w:val="single" w:color="auto" w:sz="4" w:space="0"/>
              <w:left w:val="single" w:color="auto" w:sz="4" w:space="0"/>
              <w:bottom w:val="single" w:color="auto" w:sz="4" w:space="0"/>
              <w:right w:val="single" w:color="auto" w:sz="4" w:space="0"/>
            </w:tcBorders>
            <w:vAlign w:val="center"/>
          </w:tcPr>
          <w:p w14:paraId="7D6AA553">
            <w:pPr>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9分</w:t>
            </w:r>
          </w:p>
        </w:tc>
        <w:tc>
          <w:tcPr>
            <w:tcW w:w="3514" w:type="pct"/>
            <w:tcBorders>
              <w:top w:val="single" w:color="auto" w:sz="4" w:space="0"/>
              <w:left w:val="single" w:color="auto" w:sz="4" w:space="0"/>
              <w:bottom w:val="single" w:color="auto" w:sz="4" w:space="0"/>
              <w:right w:val="single" w:color="auto" w:sz="4" w:space="0"/>
            </w:tcBorders>
            <w:vAlign w:val="center"/>
          </w:tcPr>
          <w:p w14:paraId="613FDE40">
            <w:pPr>
              <w:spacing w:line="400" w:lineRule="exact"/>
              <w:jc w:val="left"/>
              <w:rPr>
                <w:rFonts w:hint="eastAsia" w:ascii="Arial" w:hAnsi="Arial" w:eastAsia="宋体" w:cs="Arial"/>
                <w:color w:val="000000" w:themeColor="text1"/>
                <w:szCs w:val="21"/>
                <w:highlight w:val="none"/>
                <w14:textFill>
                  <w14:solidFill>
                    <w14:schemeClr w14:val="tx1"/>
                  </w14:solidFill>
                </w14:textFill>
              </w:rPr>
            </w:pPr>
            <w:r>
              <w:rPr>
                <w:rFonts w:hint="eastAsia" w:ascii="Arial" w:hAnsi="Arial" w:eastAsia="宋体" w:cs="Arial"/>
                <w:color w:val="000000" w:themeColor="text1"/>
                <w:szCs w:val="21"/>
                <w:highlight w:val="none"/>
                <w14:textFill>
                  <w14:solidFill>
                    <w14:schemeClr w14:val="tx1"/>
                  </w14:solidFill>
                </w14:textFill>
              </w:rPr>
              <w:t>1、投标人自2022年1月1日起（业绩时间以合同签订日为准）具有类似</w:t>
            </w:r>
            <w:r>
              <w:rPr>
                <w:rFonts w:hint="eastAsia" w:ascii="Arial" w:hAnsi="Arial" w:eastAsia="宋体" w:cs="Arial"/>
                <w:color w:val="000000" w:themeColor="text1"/>
                <w:szCs w:val="21"/>
                <w:highlight w:val="none"/>
                <w:lang w:val="en-US" w:eastAsia="zh-CN"/>
                <w14:textFill>
                  <w14:solidFill>
                    <w14:schemeClr w14:val="tx1"/>
                  </w14:solidFill>
                </w14:textFill>
              </w:rPr>
              <w:t>水利</w:t>
            </w:r>
            <w:r>
              <w:rPr>
                <w:rFonts w:hint="eastAsia" w:ascii="Arial" w:hAnsi="Arial" w:eastAsia="宋体" w:cs="Arial"/>
                <w:color w:val="000000" w:themeColor="text1"/>
                <w:szCs w:val="21"/>
                <w:highlight w:val="none"/>
                <w14:textFill>
                  <w14:solidFill>
                    <w14:schemeClr w14:val="tx1"/>
                  </w14:solidFill>
                </w14:textFill>
              </w:rPr>
              <w:t>自动化或信息化业绩，每提供一份得3分，最高得9分。</w:t>
            </w:r>
          </w:p>
          <w:p w14:paraId="3F030553">
            <w:pPr>
              <w:spacing w:line="400" w:lineRule="exact"/>
              <w:jc w:val="left"/>
              <w:rPr>
                <w:rFonts w:ascii="Arial" w:hAnsi="Arial" w:eastAsia="宋体" w:cs="Arial"/>
                <w:color w:val="000000" w:themeColor="text1"/>
                <w:szCs w:val="21"/>
                <w:highlight w:val="none"/>
                <w14:textFill>
                  <w14:solidFill>
                    <w14:schemeClr w14:val="tx1"/>
                  </w14:solidFill>
                </w14:textFill>
              </w:rPr>
            </w:pPr>
            <w:r>
              <w:rPr>
                <w:rFonts w:hint="eastAsia" w:ascii="Arial" w:hAnsi="Arial" w:eastAsia="宋体" w:cs="Arial"/>
                <w:color w:val="000000" w:themeColor="text1"/>
                <w:szCs w:val="21"/>
                <w:highlight w:val="none"/>
                <w14:textFill>
                  <w14:solidFill>
                    <w14:schemeClr w14:val="tx1"/>
                  </w14:solidFill>
                </w14:textFill>
              </w:rPr>
              <w:t>注：供应商须提供施工合同原件扫描件加盖公章，否则不得分。</w:t>
            </w:r>
          </w:p>
        </w:tc>
      </w:tr>
      <w:tr w14:paraId="06D95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5" w:hRule="atLeast"/>
          <w:jc w:val="center"/>
        </w:trPr>
        <w:tc>
          <w:tcPr>
            <w:tcW w:w="567" w:type="pct"/>
            <w:vMerge w:val="continue"/>
            <w:tcBorders>
              <w:left w:val="single" w:color="auto" w:sz="4" w:space="0"/>
              <w:right w:val="single" w:color="auto" w:sz="4" w:space="0"/>
            </w:tcBorders>
            <w:vAlign w:val="center"/>
          </w:tcPr>
          <w:p w14:paraId="3B49835B">
            <w:pPr>
              <w:spacing w:line="400" w:lineRule="exact"/>
              <w:jc w:val="center"/>
              <w:rPr>
                <w:rFonts w:ascii="宋体" w:hAnsi="宋体" w:eastAsia="宋体" w:cs="宋体"/>
                <w:b/>
                <w:color w:val="000000" w:themeColor="text1"/>
                <w:sz w:val="20"/>
                <w:szCs w:val="20"/>
                <w:highlight w:val="none"/>
                <w14:textFill>
                  <w14:solidFill>
                    <w14:schemeClr w14:val="tx1"/>
                  </w14:solidFill>
                </w14:textFill>
              </w:rPr>
            </w:pPr>
          </w:p>
        </w:tc>
        <w:tc>
          <w:tcPr>
            <w:tcW w:w="556" w:type="pct"/>
            <w:tcBorders>
              <w:top w:val="single" w:color="auto" w:sz="4" w:space="0"/>
              <w:left w:val="single" w:color="auto" w:sz="4" w:space="0"/>
              <w:right w:val="single" w:color="auto" w:sz="4" w:space="0"/>
            </w:tcBorders>
            <w:vAlign w:val="center"/>
          </w:tcPr>
          <w:p w14:paraId="5DFAE091">
            <w:pPr>
              <w:spacing w:line="400" w:lineRule="exact"/>
              <w:jc w:val="center"/>
              <w:rPr>
                <w:rFonts w:ascii="Calibri" w:hAnsi="Calibri" w:eastAsia="宋体" w:cs="宋体"/>
                <w:color w:val="000000" w:themeColor="text1"/>
                <w:szCs w:val="21"/>
                <w:highlight w:val="none"/>
                <w14:textFill>
                  <w14:solidFill>
                    <w14:schemeClr w14:val="tx1"/>
                  </w14:solidFill>
                </w14:textFill>
              </w:rPr>
            </w:pPr>
            <w:r>
              <w:rPr>
                <w:rFonts w:hint="eastAsia" w:ascii="Calibri" w:hAnsi="Calibri" w:eastAsia="宋体" w:cs="宋体"/>
                <w:color w:val="000000" w:themeColor="text1"/>
                <w:szCs w:val="21"/>
                <w:highlight w:val="none"/>
                <w14:textFill>
                  <w14:solidFill>
                    <w14:schemeClr w14:val="tx1"/>
                  </w14:solidFill>
                </w14:textFill>
              </w:rPr>
              <w:t>企业资信</w:t>
            </w:r>
          </w:p>
        </w:tc>
        <w:tc>
          <w:tcPr>
            <w:tcW w:w="363" w:type="pct"/>
            <w:tcBorders>
              <w:top w:val="single" w:color="auto" w:sz="4" w:space="0"/>
              <w:left w:val="single" w:color="auto" w:sz="4" w:space="0"/>
              <w:bottom w:val="single" w:color="auto" w:sz="4" w:space="0"/>
              <w:right w:val="single" w:color="auto" w:sz="4" w:space="0"/>
            </w:tcBorders>
            <w:vAlign w:val="center"/>
          </w:tcPr>
          <w:p w14:paraId="08843C39">
            <w:pPr>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12分</w:t>
            </w:r>
          </w:p>
        </w:tc>
        <w:tc>
          <w:tcPr>
            <w:tcW w:w="3514" w:type="pct"/>
            <w:tcBorders>
              <w:top w:val="single" w:color="auto" w:sz="4" w:space="0"/>
              <w:left w:val="single" w:color="auto" w:sz="4" w:space="0"/>
              <w:bottom w:val="single" w:color="auto" w:sz="4" w:space="0"/>
              <w:right w:val="single" w:color="auto" w:sz="4" w:space="0"/>
            </w:tcBorders>
          </w:tcPr>
          <w:p w14:paraId="19D9D129">
            <w:pPr>
              <w:spacing w:line="400" w:lineRule="exact"/>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w:t>
            </w:r>
            <w:r>
              <w:rPr>
                <w:rFonts w:ascii="宋体" w:hAnsi="宋体" w:eastAsia="宋体" w:cs="宋体"/>
                <w:bCs/>
                <w:color w:val="000000" w:themeColor="text1"/>
                <w:szCs w:val="21"/>
                <w:highlight w:val="none"/>
                <w14:textFill>
                  <w14:solidFill>
                    <w14:schemeClr w14:val="tx1"/>
                  </w14:solidFill>
                </w14:textFill>
              </w:rPr>
              <w:t>投标人具有</w:t>
            </w:r>
            <w:r>
              <w:rPr>
                <w:rFonts w:hint="eastAsia" w:ascii="宋体" w:hAnsi="宋体" w:eastAsia="宋体" w:cs="宋体"/>
                <w:bCs/>
                <w:color w:val="000000" w:themeColor="text1"/>
                <w:szCs w:val="21"/>
                <w:highlight w:val="none"/>
                <w14:textFill>
                  <w14:solidFill>
                    <w14:schemeClr w14:val="tx1"/>
                  </w14:solidFill>
                </w14:textFill>
              </w:rPr>
              <w:t>有效的</w:t>
            </w:r>
            <w:r>
              <w:rPr>
                <w:rFonts w:ascii="宋体" w:hAnsi="宋体" w:eastAsia="宋体" w:cs="宋体"/>
                <w:bCs/>
                <w:color w:val="000000" w:themeColor="text1"/>
                <w:szCs w:val="21"/>
                <w:highlight w:val="none"/>
                <w14:textFill>
                  <w14:solidFill>
                    <w14:schemeClr w14:val="tx1"/>
                  </w14:solidFill>
                </w14:textFill>
              </w:rPr>
              <w:t>质量管理体系认证、</w:t>
            </w:r>
            <w:r>
              <w:rPr>
                <w:rFonts w:hint="eastAsia" w:ascii="宋体" w:hAnsi="宋体" w:eastAsia="宋体" w:cs="宋体"/>
                <w:bCs/>
                <w:color w:val="000000" w:themeColor="text1"/>
                <w:szCs w:val="21"/>
                <w:highlight w:val="none"/>
                <w14:textFill>
                  <w14:solidFill>
                    <w14:schemeClr w14:val="tx1"/>
                  </w14:solidFill>
                </w14:textFill>
              </w:rPr>
              <w:t>环境管理体系认证、职业健康安全管理体系认证</w:t>
            </w:r>
            <w:r>
              <w:rPr>
                <w:rFonts w:ascii="宋体" w:hAnsi="宋体" w:eastAsia="宋体" w:cs="宋体"/>
                <w:bCs/>
                <w:color w:val="000000" w:themeColor="text1"/>
                <w:szCs w:val="21"/>
                <w:highlight w:val="none"/>
                <w14:textFill>
                  <w14:solidFill>
                    <w14:schemeClr w14:val="tx1"/>
                  </w14:solidFill>
                </w14:textFill>
              </w:rPr>
              <w:t>证书</w:t>
            </w:r>
            <w:r>
              <w:rPr>
                <w:rFonts w:hint="eastAsia" w:ascii="宋体" w:hAnsi="宋体" w:eastAsia="宋体" w:cs="宋体"/>
                <w:bCs/>
                <w:color w:val="000000" w:themeColor="text1"/>
                <w:szCs w:val="21"/>
                <w:highlight w:val="none"/>
                <w14:textFill>
                  <w14:solidFill>
                    <w14:schemeClr w14:val="tx1"/>
                  </w14:solidFill>
                </w14:textFill>
              </w:rPr>
              <w:t>，认证范围包含水利信息化相关或水利自动化相关的，每</w:t>
            </w:r>
            <w:r>
              <w:rPr>
                <w:rFonts w:ascii="宋体" w:hAnsi="宋体" w:eastAsia="宋体" w:cs="宋体"/>
                <w:bCs/>
                <w:color w:val="000000" w:themeColor="text1"/>
                <w:szCs w:val="21"/>
                <w:highlight w:val="none"/>
                <w14:textFill>
                  <w14:solidFill>
                    <w14:schemeClr w14:val="tx1"/>
                  </w14:solidFill>
                </w14:textFill>
              </w:rPr>
              <w:t>提供一个</w:t>
            </w:r>
            <w:r>
              <w:rPr>
                <w:rFonts w:hint="eastAsia" w:ascii="宋体" w:hAnsi="宋体" w:eastAsia="宋体" w:cs="宋体"/>
                <w:bCs/>
                <w:color w:val="000000" w:themeColor="text1"/>
                <w:szCs w:val="21"/>
                <w:highlight w:val="none"/>
                <w14:textFill>
                  <w14:solidFill>
                    <w14:schemeClr w14:val="tx1"/>
                  </w14:solidFill>
                </w14:textFill>
              </w:rPr>
              <w:t>证书</w:t>
            </w:r>
            <w:r>
              <w:rPr>
                <w:rFonts w:ascii="宋体" w:hAnsi="宋体" w:eastAsia="宋体" w:cs="宋体"/>
                <w:bCs/>
                <w:color w:val="000000" w:themeColor="text1"/>
                <w:szCs w:val="21"/>
                <w:highlight w:val="none"/>
                <w14:textFill>
                  <w14:solidFill>
                    <w14:schemeClr w14:val="tx1"/>
                  </w14:solidFill>
                </w14:textFill>
              </w:rPr>
              <w:t>得</w:t>
            </w:r>
            <w:r>
              <w:rPr>
                <w:rFonts w:hint="eastAsia" w:ascii="宋体" w:hAnsi="宋体" w:eastAsia="宋体" w:cs="宋体"/>
                <w:bCs/>
                <w:color w:val="000000" w:themeColor="text1"/>
                <w:szCs w:val="21"/>
                <w:highlight w:val="none"/>
                <w14:textFill>
                  <w14:solidFill>
                    <w14:schemeClr w14:val="tx1"/>
                  </w14:solidFill>
                </w14:textFill>
              </w:rPr>
              <w:t>3</w:t>
            </w:r>
            <w:r>
              <w:rPr>
                <w:rFonts w:ascii="宋体" w:hAnsi="宋体" w:eastAsia="宋体" w:cs="宋体"/>
                <w:bCs/>
                <w:color w:val="000000" w:themeColor="text1"/>
                <w:szCs w:val="21"/>
                <w:highlight w:val="none"/>
                <w14:textFill>
                  <w14:solidFill>
                    <w14:schemeClr w14:val="tx1"/>
                  </w14:solidFill>
                </w14:textFill>
              </w:rPr>
              <w:t>分，最高得</w:t>
            </w:r>
            <w:r>
              <w:rPr>
                <w:rFonts w:hint="eastAsia" w:ascii="宋体" w:hAnsi="宋体" w:eastAsia="宋体" w:cs="宋体"/>
                <w:bCs/>
                <w:color w:val="000000" w:themeColor="text1"/>
                <w:szCs w:val="21"/>
                <w:highlight w:val="none"/>
                <w14:textFill>
                  <w14:solidFill>
                    <w14:schemeClr w14:val="tx1"/>
                  </w14:solidFill>
                </w14:textFill>
              </w:rPr>
              <w:t>9</w:t>
            </w:r>
            <w:r>
              <w:rPr>
                <w:rFonts w:ascii="宋体" w:hAnsi="宋体" w:eastAsia="宋体" w:cs="宋体"/>
                <w:bCs/>
                <w:color w:val="000000" w:themeColor="text1"/>
                <w:szCs w:val="21"/>
                <w:highlight w:val="none"/>
                <w14:textFill>
                  <w14:solidFill>
                    <w14:schemeClr w14:val="tx1"/>
                  </w14:solidFill>
                </w14:textFill>
              </w:rPr>
              <w:t>分；</w:t>
            </w:r>
          </w:p>
          <w:p w14:paraId="3E60608E">
            <w:pPr>
              <w:spacing w:line="400" w:lineRule="exact"/>
              <w:jc w:val="left"/>
              <w:rPr>
                <w:rFonts w:ascii="Calibri" w:hAnsi="Calibri"/>
                <w:color w:val="000000" w:themeColor="text1"/>
                <w:kern w:val="2"/>
                <w:sz w:val="22"/>
                <w:szCs w:val="24"/>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投标人具备</w:t>
            </w:r>
            <w:r>
              <w:rPr>
                <w:rFonts w:hint="eastAsia" w:ascii="宋体" w:hAnsi="宋体" w:eastAsia="宋体" w:cs="宋体"/>
                <w:bCs/>
                <w:color w:val="000000" w:themeColor="text1"/>
                <w:szCs w:val="21"/>
                <w:highlight w:val="none"/>
                <w14:textFill>
                  <w14:solidFill>
                    <w14:schemeClr w14:val="tx1"/>
                  </w14:solidFill>
                </w14:textFill>
              </w:rPr>
              <w:t>水利信息化或自动化类</w:t>
            </w:r>
            <w:r>
              <w:rPr>
                <w:rFonts w:hint="eastAsia" w:ascii="宋体" w:hAnsi="宋体" w:eastAsia="宋体" w:cs="宋体"/>
                <w:color w:val="000000" w:themeColor="text1"/>
                <w:szCs w:val="21"/>
                <w:highlight w:val="none"/>
                <w14:textFill>
                  <w14:solidFill>
                    <w14:schemeClr w14:val="tx1"/>
                  </w14:solidFill>
                </w14:textFill>
              </w:rPr>
              <w:t>相关软件著作权登记证书的，每提供1个得1分，最高得3分。（投标人提供自行开发软件著作权证书（且能体现要求功能）扫描件或软件开发单位软件著作权证书（且能体现要求功能）扫描件、购买合同及发票，并加盖投标人公章，缺项或未提供均不得分；</w:t>
            </w:r>
          </w:p>
        </w:tc>
      </w:tr>
      <w:tr w14:paraId="23BE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567" w:type="pct"/>
            <w:vMerge w:val="continue"/>
            <w:tcBorders>
              <w:left w:val="single" w:color="auto" w:sz="4" w:space="0"/>
              <w:right w:val="single" w:color="auto" w:sz="4" w:space="0"/>
            </w:tcBorders>
            <w:vAlign w:val="center"/>
          </w:tcPr>
          <w:p w14:paraId="52D9F7E2">
            <w:pPr>
              <w:spacing w:line="400" w:lineRule="exact"/>
              <w:jc w:val="center"/>
              <w:rPr>
                <w:rFonts w:ascii="宋体" w:hAnsi="宋体" w:eastAsia="宋体" w:cs="宋体"/>
                <w:b/>
                <w:color w:val="000000" w:themeColor="text1"/>
                <w:sz w:val="20"/>
                <w:szCs w:val="20"/>
                <w:highlight w:val="none"/>
                <w14:textFill>
                  <w14:solidFill>
                    <w14:schemeClr w14:val="tx1"/>
                  </w14:solidFill>
                </w14:textFill>
              </w:rPr>
            </w:pPr>
          </w:p>
        </w:tc>
        <w:tc>
          <w:tcPr>
            <w:tcW w:w="556" w:type="pct"/>
            <w:tcBorders>
              <w:top w:val="single" w:color="auto" w:sz="4" w:space="0"/>
              <w:left w:val="single" w:color="auto" w:sz="4" w:space="0"/>
              <w:right w:val="single" w:color="auto" w:sz="4" w:space="0"/>
            </w:tcBorders>
            <w:vAlign w:val="center"/>
          </w:tcPr>
          <w:p w14:paraId="72CF6668">
            <w:pPr>
              <w:spacing w:line="400" w:lineRule="exact"/>
              <w:jc w:val="center"/>
              <w:rPr>
                <w:rFonts w:ascii="Calibri" w:hAnsi="Calibri" w:eastAsia="宋体" w:cs="宋体"/>
                <w:color w:val="000000" w:themeColor="text1"/>
                <w:szCs w:val="21"/>
                <w:highlight w:val="none"/>
                <w14:textFill>
                  <w14:solidFill>
                    <w14:schemeClr w14:val="tx1"/>
                  </w14:solidFill>
                </w14:textFill>
              </w:rPr>
            </w:pPr>
            <w:r>
              <w:rPr>
                <w:rFonts w:hint="eastAsia" w:ascii="Calibri" w:hAnsi="Calibri" w:eastAsia="宋体" w:cs="宋体"/>
                <w:color w:val="000000" w:themeColor="text1"/>
                <w:szCs w:val="21"/>
                <w:highlight w:val="none"/>
                <w14:textFill>
                  <w14:solidFill>
                    <w14:schemeClr w14:val="tx1"/>
                  </w14:solidFill>
                </w14:textFill>
              </w:rPr>
              <w:t>人员配置</w:t>
            </w:r>
          </w:p>
        </w:tc>
        <w:tc>
          <w:tcPr>
            <w:tcW w:w="363" w:type="pct"/>
            <w:tcBorders>
              <w:top w:val="single" w:color="auto" w:sz="4" w:space="0"/>
              <w:left w:val="single" w:color="auto" w:sz="4" w:space="0"/>
              <w:bottom w:val="single" w:color="auto" w:sz="4" w:space="0"/>
              <w:right w:val="single" w:color="auto" w:sz="4" w:space="0"/>
            </w:tcBorders>
            <w:vAlign w:val="center"/>
          </w:tcPr>
          <w:p w14:paraId="734B37B7">
            <w:pPr>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14分</w:t>
            </w:r>
          </w:p>
        </w:tc>
        <w:tc>
          <w:tcPr>
            <w:tcW w:w="3514" w:type="pct"/>
            <w:tcBorders>
              <w:top w:val="single" w:color="auto" w:sz="4" w:space="0"/>
              <w:left w:val="single" w:color="auto" w:sz="4" w:space="0"/>
              <w:bottom w:val="single" w:color="auto" w:sz="4" w:space="0"/>
              <w:right w:val="single" w:color="auto" w:sz="4" w:space="0"/>
            </w:tcBorders>
            <w:vAlign w:val="center"/>
          </w:tcPr>
          <w:p w14:paraId="1E0D1F0D">
            <w:pPr>
              <w:spacing w:line="360" w:lineRule="exact"/>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w:t>
            </w:r>
            <w:r>
              <w:rPr>
                <w:rFonts w:ascii="宋体" w:hAnsi="宋体" w:eastAsia="宋体" w:cs="宋体"/>
                <w:bCs/>
                <w:color w:val="000000" w:themeColor="text1"/>
                <w:szCs w:val="21"/>
                <w:highlight w:val="none"/>
                <w14:textFill>
                  <w14:solidFill>
                    <w14:schemeClr w14:val="tx1"/>
                  </w14:solidFill>
                </w14:textFill>
              </w:rPr>
              <w:t>投标人拟投入本项目的</w:t>
            </w:r>
            <w:r>
              <w:rPr>
                <w:rFonts w:hint="eastAsia" w:ascii="宋体" w:hAnsi="宋体" w:eastAsia="宋体" w:cs="宋体"/>
                <w:bCs/>
                <w:color w:val="000000" w:themeColor="text1"/>
                <w:szCs w:val="21"/>
                <w:highlight w:val="none"/>
                <w14:textFill>
                  <w14:solidFill>
                    <w14:schemeClr w14:val="tx1"/>
                  </w14:solidFill>
                </w14:textFill>
              </w:rPr>
              <w:t>技术</w:t>
            </w:r>
            <w:r>
              <w:rPr>
                <w:rFonts w:ascii="宋体" w:hAnsi="宋体" w:eastAsia="宋体" w:cs="宋体"/>
                <w:bCs/>
                <w:color w:val="000000" w:themeColor="text1"/>
                <w:szCs w:val="21"/>
                <w:highlight w:val="none"/>
                <w14:textFill>
                  <w14:solidFill>
                    <w14:schemeClr w14:val="tx1"/>
                  </w14:solidFill>
                </w14:textFill>
              </w:rPr>
              <w:t>负责人具有</w:t>
            </w:r>
            <w:r>
              <w:rPr>
                <w:rFonts w:hint="eastAsia" w:ascii="宋体" w:hAnsi="宋体" w:eastAsia="宋体" w:cs="宋体"/>
                <w:bCs/>
                <w:color w:val="000000" w:themeColor="text1"/>
                <w:szCs w:val="21"/>
                <w:highlight w:val="none"/>
                <w14:textFill>
                  <w14:solidFill>
                    <w14:schemeClr w14:val="tx1"/>
                  </w14:solidFill>
                </w14:textFill>
              </w:rPr>
              <w:t>水利工程专业正高级职称证书得7分，</w:t>
            </w:r>
            <w:r>
              <w:rPr>
                <w:rFonts w:ascii="宋体" w:hAnsi="宋体" w:eastAsia="宋体" w:cs="宋体"/>
                <w:bCs/>
                <w:color w:val="000000" w:themeColor="text1"/>
                <w:szCs w:val="21"/>
                <w:highlight w:val="none"/>
                <w14:textFill>
                  <w14:solidFill>
                    <w14:schemeClr w14:val="tx1"/>
                  </w14:solidFill>
                </w14:textFill>
              </w:rPr>
              <w:t>具有</w:t>
            </w:r>
            <w:r>
              <w:rPr>
                <w:rFonts w:hint="eastAsia" w:ascii="宋体" w:hAnsi="宋体" w:eastAsia="宋体" w:cs="宋体"/>
                <w:bCs/>
                <w:color w:val="000000" w:themeColor="text1"/>
                <w:szCs w:val="21"/>
                <w:highlight w:val="none"/>
                <w14:textFill>
                  <w14:solidFill>
                    <w14:schemeClr w14:val="tx1"/>
                  </w14:solidFill>
                </w14:textFill>
              </w:rPr>
              <w:t>水利工程专业高级职称证书得5分，</w:t>
            </w:r>
            <w:r>
              <w:rPr>
                <w:rFonts w:ascii="宋体" w:hAnsi="宋体" w:eastAsia="宋体" w:cs="宋体"/>
                <w:bCs/>
                <w:color w:val="000000" w:themeColor="text1"/>
                <w:szCs w:val="21"/>
                <w:highlight w:val="none"/>
                <w14:textFill>
                  <w14:solidFill>
                    <w14:schemeClr w14:val="tx1"/>
                  </w14:solidFill>
                </w14:textFill>
              </w:rPr>
              <w:t>具有</w:t>
            </w:r>
            <w:r>
              <w:rPr>
                <w:rFonts w:hint="eastAsia" w:ascii="宋体" w:hAnsi="宋体" w:eastAsia="宋体" w:cs="宋体"/>
                <w:bCs/>
                <w:color w:val="000000" w:themeColor="text1"/>
                <w:szCs w:val="21"/>
                <w:highlight w:val="none"/>
                <w14:textFill>
                  <w14:solidFill>
                    <w14:schemeClr w14:val="tx1"/>
                  </w14:solidFill>
                </w14:textFill>
              </w:rPr>
              <w:t>水利工程专业中级职称证书得3分；技术负责人</w:t>
            </w:r>
            <w:r>
              <w:rPr>
                <w:rFonts w:ascii="宋体" w:hAnsi="宋体" w:eastAsia="宋体" w:cs="宋体"/>
                <w:bCs/>
                <w:color w:val="000000" w:themeColor="text1"/>
                <w:szCs w:val="21"/>
                <w:highlight w:val="none"/>
                <w14:textFill>
                  <w14:solidFill>
                    <w14:schemeClr w14:val="tx1"/>
                  </w14:solidFill>
                </w14:textFill>
              </w:rPr>
              <w:t>具有</w:t>
            </w:r>
            <w:r>
              <w:rPr>
                <w:rFonts w:hint="eastAsia" w:ascii="宋体" w:hAnsi="宋体" w:eastAsia="宋体" w:cs="宋体"/>
                <w:bCs/>
                <w:color w:val="000000" w:themeColor="text1"/>
                <w:szCs w:val="21"/>
                <w:highlight w:val="none"/>
                <w14:textFill>
                  <w14:solidFill>
                    <w14:schemeClr w14:val="tx1"/>
                  </w14:solidFill>
                </w14:textFill>
              </w:rPr>
              <w:t>信息系统项目管理师高级证书得2分；本项最多得9分</w:t>
            </w:r>
            <w:r>
              <w:rPr>
                <w:rFonts w:ascii="宋体" w:hAnsi="宋体" w:eastAsia="宋体" w:cs="宋体"/>
                <w:bCs/>
                <w:color w:val="000000" w:themeColor="text1"/>
                <w:szCs w:val="21"/>
                <w:highlight w:val="none"/>
                <w14:textFill>
                  <w14:solidFill>
                    <w14:schemeClr w14:val="tx1"/>
                  </w14:solidFill>
                </w14:textFill>
              </w:rPr>
              <w:t>；</w:t>
            </w:r>
          </w:p>
          <w:p w14:paraId="0727504B">
            <w:pPr>
              <w:spacing w:line="360" w:lineRule="exact"/>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w:t>
            </w:r>
            <w:r>
              <w:rPr>
                <w:rFonts w:ascii="宋体" w:hAnsi="宋体" w:eastAsia="宋体" w:cs="宋体"/>
                <w:bCs/>
                <w:color w:val="000000" w:themeColor="text1"/>
                <w:szCs w:val="21"/>
                <w:highlight w:val="none"/>
                <w14:textFill>
                  <w14:solidFill>
                    <w14:schemeClr w14:val="tx1"/>
                  </w14:solidFill>
                </w14:textFill>
              </w:rPr>
              <w:t>投标人项目组成员</w:t>
            </w:r>
            <w:r>
              <w:rPr>
                <w:rFonts w:hint="eastAsia" w:ascii="宋体" w:hAnsi="宋体" w:eastAsia="宋体" w:cs="宋体"/>
                <w:bCs/>
                <w:color w:val="000000" w:themeColor="text1"/>
                <w:szCs w:val="21"/>
                <w:highlight w:val="none"/>
                <w14:textFill>
                  <w14:solidFill>
                    <w14:schemeClr w14:val="tx1"/>
                  </w14:solidFill>
                </w14:textFill>
              </w:rPr>
              <w:t>（项目负责人、项目技术负责人除外）</w:t>
            </w:r>
            <w:r>
              <w:rPr>
                <w:rFonts w:ascii="宋体" w:hAnsi="宋体" w:eastAsia="宋体" w:cs="宋体"/>
                <w:bCs/>
                <w:color w:val="000000" w:themeColor="text1"/>
                <w:szCs w:val="21"/>
                <w:highlight w:val="none"/>
                <w14:textFill>
                  <w14:solidFill>
                    <w14:schemeClr w14:val="tx1"/>
                  </w14:solidFill>
                </w14:textFill>
              </w:rPr>
              <w:t>具有</w:t>
            </w:r>
            <w:r>
              <w:rPr>
                <w:rFonts w:hint="eastAsia" w:ascii="宋体" w:hAnsi="宋体" w:eastAsia="宋体" w:cs="宋体"/>
                <w:bCs/>
                <w:color w:val="000000" w:themeColor="text1"/>
                <w:szCs w:val="21"/>
                <w:highlight w:val="none"/>
                <w14:textFill>
                  <w14:solidFill>
                    <w14:schemeClr w14:val="tx1"/>
                  </w14:solidFill>
                </w14:textFill>
              </w:rPr>
              <w:t>水利类专业或电子信息工程专业中级及以上职称证书</w:t>
            </w:r>
            <w:r>
              <w:rPr>
                <w:rFonts w:ascii="宋体" w:hAnsi="宋体" w:eastAsia="宋体" w:cs="宋体"/>
                <w:bCs/>
                <w:color w:val="000000" w:themeColor="text1"/>
                <w:szCs w:val="21"/>
                <w:highlight w:val="none"/>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有一个</w:t>
            </w:r>
            <w:r>
              <w:rPr>
                <w:rFonts w:ascii="宋体" w:hAnsi="宋体" w:eastAsia="宋体" w:cs="宋体"/>
                <w:bCs/>
                <w:color w:val="000000" w:themeColor="text1"/>
                <w:szCs w:val="21"/>
                <w:highlight w:val="none"/>
                <w14:textFill>
                  <w14:solidFill>
                    <w14:schemeClr w14:val="tx1"/>
                  </w14:solidFill>
                </w14:textFill>
              </w:rPr>
              <w:t>得</w:t>
            </w:r>
            <w:r>
              <w:rPr>
                <w:rFonts w:hint="eastAsia" w:ascii="宋体" w:hAnsi="宋体" w:eastAsia="宋体" w:cs="宋体"/>
                <w:bCs/>
                <w:color w:val="000000" w:themeColor="text1"/>
                <w:szCs w:val="21"/>
                <w:highlight w:val="none"/>
                <w14:textFill>
                  <w14:solidFill>
                    <w14:schemeClr w14:val="tx1"/>
                  </w14:solidFill>
                </w14:textFill>
              </w:rPr>
              <w:t>5</w:t>
            </w:r>
            <w:r>
              <w:rPr>
                <w:rFonts w:ascii="宋体" w:hAnsi="宋体" w:eastAsia="宋体" w:cs="宋体"/>
                <w:bCs/>
                <w:color w:val="000000" w:themeColor="text1"/>
                <w:szCs w:val="21"/>
                <w:highlight w:val="none"/>
                <w14:textFill>
                  <w14:solidFill>
                    <w14:schemeClr w14:val="tx1"/>
                  </w14:solidFill>
                </w14:textFill>
              </w:rPr>
              <w:t>分，最</w:t>
            </w:r>
            <w:r>
              <w:rPr>
                <w:rFonts w:ascii="宋体" w:hAnsi="宋体" w:eastAsia="宋体" w:cs="宋体"/>
                <w:color w:val="000000" w:themeColor="text1"/>
                <w:szCs w:val="21"/>
                <w:highlight w:val="none"/>
                <w14:textFill>
                  <w14:solidFill>
                    <w14:schemeClr w14:val="tx1"/>
                  </w14:solidFill>
                </w14:textFill>
              </w:rPr>
              <w:t>高</w:t>
            </w:r>
            <w:r>
              <w:rPr>
                <w:rFonts w:ascii="宋体" w:hAnsi="宋体" w:eastAsia="宋体" w:cs="宋体"/>
                <w:bCs/>
                <w:color w:val="000000" w:themeColor="text1"/>
                <w:szCs w:val="21"/>
                <w:highlight w:val="none"/>
                <w14:textFill>
                  <w14:solidFill>
                    <w14:schemeClr w14:val="tx1"/>
                  </w14:solidFill>
                </w14:textFill>
              </w:rPr>
              <w:t>得</w:t>
            </w:r>
            <w:r>
              <w:rPr>
                <w:rFonts w:hint="eastAsia" w:ascii="宋体" w:hAnsi="宋体" w:eastAsia="宋体" w:cs="宋体"/>
                <w:bCs/>
                <w:color w:val="000000" w:themeColor="text1"/>
                <w:szCs w:val="21"/>
                <w:highlight w:val="none"/>
                <w14:textFill>
                  <w14:solidFill>
                    <w14:schemeClr w14:val="tx1"/>
                  </w14:solidFill>
                </w14:textFill>
              </w:rPr>
              <w:t>5</w:t>
            </w:r>
            <w:r>
              <w:rPr>
                <w:rFonts w:ascii="宋体" w:hAnsi="宋体" w:eastAsia="宋体" w:cs="宋体"/>
                <w:bCs/>
                <w:color w:val="000000" w:themeColor="text1"/>
                <w:szCs w:val="21"/>
                <w:highlight w:val="none"/>
                <w14:textFill>
                  <w14:solidFill>
                    <w14:schemeClr w14:val="tx1"/>
                  </w14:solidFill>
                </w14:textFill>
              </w:rPr>
              <w:t>分</w:t>
            </w:r>
            <w:r>
              <w:rPr>
                <w:rFonts w:hint="eastAsia" w:ascii="宋体" w:hAnsi="宋体" w:eastAsia="宋体" w:cs="宋体"/>
                <w:bCs/>
                <w:color w:val="000000" w:themeColor="text1"/>
                <w:szCs w:val="21"/>
                <w:highlight w:val="none"/>
                <w14:textFill>
                  <w14:solidFill>
                    <w14:schemeClr w14:val="tx1"/>
                  </w14:solidFill>
                </w14:textFill>
              </w:rPr>
              <w:t>；</w:t>
            </w:r>
          </w:p>
          <w:p w14:paraId="6AAA7DF6">
            <w:pPr>
              <w:spacing w:line="360" w:lineRule="exact"/>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注：1、</w:t>
            </w:r>
            <w:r>
              <w:rPr>
                <w:rFonts w:ascii="宋体" w:hAnsi="宋体" w:eastAsia="宋体" w:cs="宋体"/>
                <w:bCs/>
                <w:color w:val="000000" w:themeColor="text1"/>
                <w:szCs w:val="21"/>
                <w:highlight w:val="none"/>
                <w14:textFill>
                  <w14:solidFill>
                    <w14:schemeClr w14:val="tx1"/>
                  </w14:solidFill>
                </w14:textFill>
              </w:rPr>
              <w:t>项目</w:t>
            </w:r>
            <w:r>
              <w:rPr>
                <w:rFonts w:hint="eastAsia" w:ascii="宋体" w:hAnsi="宋体" w:eastAsia="宋体" w:cs="宋体"/>
                <w:bCs/>
                <w:color w:val="000000" w:themeColor="text1"/>
                <w:szCs w:val="21"/>
                <w:highlight w:val="none"/>
                <w14:textFill>
                  <w14:solidFill>
                    <w14:schemeClr w14:val="tx1"/>
                  </w14:solidFill>
                </w14:textFill>
              </w:rPr>
              <w:t>组人员</w:t>
            </w:r>
            <w:r>
              <w:rPr>
                <w:rFonts w:ascii="宋体" w:hAnsi="宋体" w:eastAsia="宋体" w:cs="宋体"/>
                <w:bCs/>
                <w:color w:val="000000" w:themeColor="text1"/>
                <w:szCs w:val="21"/>
                <w:highlight w:val="none"/>
                <w14:textFill>
                  <w14:solidFill>
                    <w14:schemeClr w14:val="tx1"/>
                  </w14:solidFill>
                </w14:textFill>
              </w:rPr>
              <w:t>不重复计分</w:t>
            </w:r>
            <w:r>
              <w:rPr>
                <w:rFonts w:hint="eastAsia" w:ascii="宋体" w:hAnsi="宋体" w:eastAsia="宋体" w:cs="宋体"/>
                <w:bCs/>
                <w:color w:val="000000" w:themeColor="text1"/>
                <w:szCs w:val="21"/>
                <w:highlight w:val="none"/>
                <w14:textFill>
                  <w14:solidFill>
                    <w14:schemeClr w14:val="tx1"/>
                  </w14:solidFill>
                </w14:textFill>
              </w:rPr>
              <w:t>。</w:t>
            </w:r>
          </w:p>
          <w:p w14:paraId="36F1FF35">
            <w:pPr>
              <w:spacing w:line="360" w:lineRule="exact"/>
              <w:jc w:val="lef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投标人需提供人员证书原件扫描件及投标人为其缴纳的响应文件截止时间前任意一个月或最近一个月的由社保机构出具的社保缴纳证明（加盖社保中心章或社保中心参保缴费证明电子专用章）。前述材料均需加盖单位公章，不提供则该项不得分。</w:t>
            </w:r>
          </w:p>
        </w:tc>
      </w:tr>
      <w:tr w14:paraId="05828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67" w:type="pct"/>
            <w:vMerge w:val="restart"/>
            <w:tcBorders>
              <w:top w:val="single" w:color="auto" w:sz="4" w:space="0"/>
              <w:left w:val="single" w:color="auto" w:sz="4" w:space="0"/>
              <w:right w:val="single" w:color="auto" w:sz="4" w:space="0"/>
            </w:tcBorders>
            <w:vAlign w:val="center"/>
          </w:tcPr>
          <w:p w14:paraId="4642A225">
            <w:pPr>
              <w:spacing w:line="400" w:lineRule="exact"/>
              <w:jc w:val="center"/>
              <w:rPr>
                <w:rFonts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技术</w:t>
            </w:r>
          </w:p>
          <w:p w14:paraId="4543331B">
            <w:pPr>
              <w:spacing w:line="400" w:lineRule="exact"/>
              <w:jc w:val="center"/>
              <w:rPr>
                <w:rFonts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评审</w:t>
            </w:r>
          </w:p>
          <w:p w14:paraId="38C946C1">
            <w:pPr>
              <w:spacing w:line="400" w:lineRule="exact"/>
              <w:ind w:firstLine="201"/>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35分</w:t>
            </w:r>
          </w:p>
        </w:tc>
        <w:tc>
          <w:tcPr>
            <w:tcW w:w="556" w:type="pct"/>
            <w:tcBorders>
              <w:top w:val="single" w:color="auto" w:sz="4" w:space="0"/>
              <w:left w:val="single" w:color="auto" w:sz="4" w:space="0"/>
              <w:right w:val="single" w:color="auto" w:sz="4" w:space="0"/>
            </w:tcBorders>
            <w:vAlign w:val="center"/>
          </w:tcPr>
          <w:p w14:paraId="6EA30439">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项目理解</w:t>
            </w:r>
          </w:p>
        </w:tc>
        <w:tc>
          <w:tcPr>
            <w:tcW w:w="363" w:type="pct"/>
            <w:tcBorders>
              <w:top w:val="single" w:color="auto" w:sz="4" w:space="0"/>
              <w:left w:val="single" w:color="auto" w:sz="4" w:space="0"/>
              <w:right w:val="single" w:color="auto" w:sz="4" w:space="0"/>
            </w:tcBorders>
            <w:vAlign w:val="center"/>
          </w:tcPr>
          <w:p w14:paraId="69771162">
            <w:pPr>
              <w:spacing w:line="360" w:lineRule="exact"/>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8分</w:t>
            </w:r>
          </w:p>
        </w:tc>
        <w:tc>
          <w:tcPr>
            <w:tcW w:w="3514" w:type="pct"/>
            <w:tcBorders>
              <w:top w:val="single" w:color="auto" w:sz="4" w:space="0"/>
              <w:left w:val="single" w:color="auto" w:sz="4" w:space="0"/>
              <w:right w:val="single" w:color="auto" w:sz="4" w:space="0"/>
            </w:tcBorders>
            <w:vAlign w:val="center"/>
          </w:tcPr>
          <w:p w14:paraId="386468A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评标委员会根据投标人提供的对项目背景、设备运行现状及存在问题、对已建设施设备现场情况的熟悉程度、是否进行过现场勘查并根据现场情况进行打分。</w:t>
            </w:r>
          </w:p>
          <w:p w14:paraId="6222A96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1、勘查</w:t>
            </w:r>
            <w:r>
              <w:rPr>
                <w:rFonts w:hint="eastAsia" w:ascii="宋体" w:hAnsi="宋体" w:eastAsia="宋体" w:cs="宋体"/>
                <w:color w:val="000000" w:themeColor="text1"/>
                <w:szCs w:val="21"/>
                <w:highlight w:val="none"/>
                <w14:textFill>
                  <w14:solidFill>
                    <w14:schemeClr w14:val="tx1"/>
                  </w14:solidFill>
                </w14:textFill>
              </w:rPr>
              <w:t>（包括对项目背景、设备运行现状及存在问题、己建设施设备现场情况的熟悉程度等内容）</w:t>
            </w:r>
            <w:r>
              <w:rPr>
                <w:rFonts w:hint="eastAsia" w:ascii="宋体" w:hAnsi="宋体" w:eastAsia="宋体" w:cs="宋体"/>
                <w:color w:val="000000" w:themeColor="text1"/>
                <w:szCs w:val="21"/>
                <w:highlight w:val="none"/>
                <w14:textFill>
                  <w14:solidFill>
                    <w14:schemeClr w14:val="tx1"/>
                  </w14:solidFill>
                </w14:textFill>
              </w:rPr>
              <w:t>详尽、理解透彻的得8分；</w:t>
            </w:r>
          </w:p>
          <w:p w14:paraId="741626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2、较为详尽、较为理解的得6分；</w:t>
            </w:r>
          </w:p>
          <w:p w14:paraId="65A54F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3、勘察一般、理解一般的得4分；</w:t>
            </w:r>
          </w:p>
          <w:p w14:paraId="5BE190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4、勘察较差、理解较差的得2分</w:t>
            </w:r>
          </w:p>
          <w:p w14:paraId="64A686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未提供的不得分。</w:t>
            </w:r>
          </w:p>
        </w:tc>
      </w:tr>
      <w:tr w14:paraId="459D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67" w:type="pct"/>
            <w:vMerge w:val="continue"/>
            <w:tcBorders>
              <w:left w:val="single" w:color="auto" w:sz="4" w:space="0"/>
              <w:right w:val="single" w:color="auto" w:sz="4" w:space="0"/>
            </w:tcBorders>
            <w:vAlign w:val="center"/>
          </w:tcPr>
          <w:p w14:paraId="5B260B5D">
            <w:pPr>
              <w:spacing w:line="400" w:lineRule="exact"/>
              <w:ind w:firstLine="201"/>
              <w:rPr>
                <w:rFonts w:ascii="宋体" w:hAnsi="宋体" w:eastAsia="宋体" w:cs="宋体"/>
                <w:b/>
                <w:color w:val="000000" w:themeColor="text1"/>
                <w:sz w:val="20"/>
                <w:szCs w:val="20"/>
                <w:highlight w:val="none"/>
                <w14:textFill>
                  <w14:solidFill>
                    <w14:schemeClr w14:val="tx1"/>
                  </w14:solidFill>
                </w14:textFill>
              </w:rPr>
            </w:pPr>
          </w:p>
        </w:tc>
        <w:tc>
          <w:tcPr>
            <w:tcW w:w="556" w:type="pct"/>
            <w:tcBorders>
              <w:top w:val="single" w:color="auto" w:sz="4" w:space="0"/>
              <w:left w:val="single" w:color="auto" w:sz="4" w:space="0"/>
              <w:right w:val="single" w:color="auto" w:sz="4" w:space="0"/>
            </w:tcBorders>
            <w:vAlign w:val="center"/>
          </w:tcPr>
          <w:p w14:paraId="475D8AF2">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安装调试方案</w:t>
            </w:r>
          </w:p>
        </w:tc>
        <w:tc>
          <w:tcPr>
            <w:tcW w:w="363" w:type="pct"/>
            <w:tcBorders>
              <w:top w:val="single" w:color="auto" w:sz="4" w:space="0"/>
              <w:left w:val="single" w:color="auto" w:sz="4" w:space="0"/>
              <w:right w:val="single" w:color="auto" w:sz="4" w:space="0"/>
            </w:tcBorders>
            <w:vAlign w:val="center"/>
          </w:tcPr>
          <w:p w14:paraId="16C9A1B4">
            <w:pPr>
              <w:spacing w:line="360" w:lineRule="exact"/>
              <w:jc w:val="center"/>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8分</w:t>
            </w:r>
          </w:p>
        </w:tc>
        <w:tc>
          <w:tcPr>
            <w:tcW w:w="3514" w:type="pct"/>
            <w:tcBorders>
              <w:top w:val="single" w:color="auto" w:sz="4" w:space="0"/>
              <w:left w:val="single" w:color="auto" w:sz="4" w:space="0"/>
              <w:right w:val="single" w:color="auto" w:sz="4" w:space="0"/>
            </w:tcBorders>
            <w:vAlign w:val="center"/>
          </w:tcPr>
          <w:p w14:paraId="2C45DCD2">
            <w:pPr>
              <w:widowControl/>
              <w:shd w:val="clear" w:color="auto" w:fill="FFFFFF"/>
              <w:spacing w:line="40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评标委员会根据投标人提供的安装调试方案进行评分</w:t>
            </w:r>
          </w:p>
          <w:p w14:paraId="67ADAD97">
            <w:pPr>
              <w:widowControl/>
              <w:shd w:val="clear" w:color="auto" w:fill="FFFFFF"/>
              <w:spacing w:line="40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1、安装调试方案设想科学、合理，方案针对性强，符合项目需求的8分； </w:t>
            </w:r>
          </w:p>
          <w:p w14:paraId="58BDA044">
            <w:pPr>
              <w:widowControl/>
              <w:shd w:val="clear" w:color="auto" w:fill="FFFFFF"/>
              <w:spacing w:line="40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2、安装调试方案设想科学、合理，方案针对性较强，符合项目需求的6分；</w:t>
            </w:r>
          </w:p>
          <w:p w14:paraId="22A67273">
            <w:pPr>
              <w:widowControl/>
              <w:shd w:val="clear" w:color="auto" w:fill="FFFFFF"/>
              <w:spacing w:line="40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3、安装调试方案设想一般，方案针对性一般的4分；</w:t>
            </w:r>
          </w:p>
          <w:p w14:paraId="6D3A39A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4、安装调试方案设想较差，方案针对性较差的2分</w:t>
            </w:r>
          </w:p>
          <w:p w14:paraId="7CDF44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未提供不得分。</w:t>
            </w:r>
          </w:p>
        </w:tc>
      </w:tr>
      <w:tr w14:paraId="30AE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7" w:type="pct"/>
            <w:vMerge w:val="continue"/>
            <w:tcBorders>
              <w:left w:val="single" w:color="auto" w:sz="4" w:space="0"/>
              <w:right w:val="single" w:color="auto" w:sz="4" w:space="0"/>
            </w:tcBorders>
            <w:vAlign w:val="center"/>
          </w:tcPr>
          <w:p w14:paraId="2088A1A1">
            <w:pPr>
              <w:spacing w:line="400" w:lineRule="exact"/>
              <w:ind w:firstLine="201"/>
              <w:rPr>
                <w:rFonts w:ascii="宋体" w:hAnsi="宋体" w:eastAsia="宋体" w:cs="宋体"/>
                <w:b/>
                <w:color w:val="000000" w:themeColor="text1"/>
                <w:sz w:val="20"/>
                <w:szCs w:val="20"/>
                <w:highlight w:val="none"/>
                <w14:textFill>
                  <w14:solidFill>
                    <w14:schemeClr w14:val="tx1"/>
                  </w14:solidFill>
                </w14:textFill>
              </w:rPr>
            </w:pPr>
          </w:p>
        </w:tc>
        <w:tc>
          <w:tcPr>
            <w:tcW w:w="556" w:type="pct"/>
            <w:tcBorders>
              <w:left w:val="single" w:color="auto" w:sz="4" w:space="0"/>
              <w:right w:val="single" w:color="auto" w:sz="4" w:space="0"/>
            </w:tcBorders>
            <w:vAlign w:val="center"/>
          </w:tcPr>
          <w:p w14:paraId="20FCC370">
            <w:pPr>
              <w:spacing w:line="360" w:lineRule="exact"/>
              <w:rPr>
                <w:rFonts w:ascii="宋体" w:hAnsi="宋体"/>
                <w:color w:val="000000" w:themeColor="text1"/>
                <w:szCs w:val="21"/>
                <w:highlight w:val="none"/>
                <w14:textFill>
                  <w14:solidFill>
                    <w14:schemeClr w14:val="tx1"/>
                  </w14:solidFill>
                </w14:textFill>
              </w:rPr>
            </w:pPr>
          </w:p>
          <w:p w14:paraId="3280ABAA">
            <w:pPr>
              <w:spacing w:line="360" w:lineRule="exact"/>
              <w:ind w:left="210" w:hanging="210"/>
              <w:rPr>
                <w:rFonts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进度控制</w:t>
            </w:r>
          </w:p>
        </w:tc>
        <w:tc>
          <w:tcPr>
            <w:tcW w:w="363" w:type="pct"/>
            <w:tcBorders>
              <w:left w:val="single" w:color="auto" w:sz="4" w:space="0"/>
              <w:right w:val="single" w:color="auto" w:sz="4" w:space="0"/>
            </w:tcBorders>
            <w:vAlign w:val="center"/>
          </w:tcPr>
          <w:p w14:paraId="3970F0B1">
            <w:pPr>
              <w:spacing w:line="360" w:lineRule="exact"/>
              <w:jc w:val="center"/>
              <w:rPr>
                <w:rFonts w:ascii="宋体" w:hAnsi="宋体" w:eastAsia="宋体" w:cs="宋体"/>
                <w:b/>
                <w:color w:val="000000" w:themeColor="text1"/>
                <w:szCs w:val="21"/>
                <w:highlight w:val="none"/>
                <w14:textFill>
                  <w14:solidFill>
                    <w14:schemeClr w14:val="tx1"/>
                  </w14:solidFill>
                </w14:textFill>
              </w:rPr>
            </w:pPr>
          </w:p>
          <w:p w14:paraId="4D6CC9B2">
            <w:pPr>
              <w:spacing w:line="360" w:lineRule="exact"/>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8分</w:t>
            </w:r>
          </w:p>
        </w:tc>
        <w:tc>
          <w:tcPr>
            <w:tcW w:w="3514" w:type="pct"/>
            <w:tcBorders>
              <w:top w:val="single" w:color="auto" w:sz="4" w:space="0"/>
              <w:left w:val="single" w:color="auto" w:sz="4" w:space="0"/>
              <w:bottom w:val="single" w:color="auto" w:sz="4" w:space="0"/>
              <w:right w:val="single" w:color="auto" w:sz="4" w:space="0"/>
            </w:tcBorders>
            <w:vAlign w:val="center"/>
          </w:tcPr>
          <w:p w14:paraId="5DAA47D8">
            <w:pPr>
              <w:widowControl/>
              <w:spacing w:before="1" w:line="400" w:lineRule="exact"/>
              <w:ind w:right="149"/>
              <w:jc w:val="left"/>
              <w:rPr>
                <w:rFonts w:ascii="宋体" w:hAnsi="宋体" w:eastAsia="宋体" w:cs="宋体"/>
                <w:color w:val="000000" w:themeColor="text1"/>
                <w:spacing w:val="-2"/>
                <w:szCs w:val="21"/>
                <w:highlight w:val="none"/>
                <w14:textFill>
                  <w14:solidFill>
                    <w14:schemeClr w14:val="tx1"/>
                  </w14:solidFill>
                </w14:textFill>
              </w:rPr>
            </w:pPr>
            <w:r>
              <w:rPr>
                <w:rFonts w:hint="eastAsia" w:ascii="Calibri" w:eastAsia="宋体"/>
                <w:color w:val="000000" w:themeColor="text1"/>
                <w:highlight w:val="none"/>
                <w14:textFill>
                  <w14:solidFill>
                    <w14:schemeClr w14:val="tx1"/>
                  </w14:solidFill>
                </w14:textFill>
              </w:rPr>
              <w:t>本项目要求90日内完成临洪东变电所保护设备及屏体、直流设备及屏体、控制柜设备等，包括原设备拆除、新设备安装、接线、配合保护试验、后台开发调试等工作；评委根据投标人提供的进度计划及其为了保证工期所采取的措施，进行打分；</w:t>
            </w:r>
          </w:p>
          <w:p w14:paraId="60FA3938">
            <w:pPr>
              <w:widowControl/>
              <w:spacing w:before="1" w:line="400" w:lineRule="exact"/>
              <w:ind w:right="149"/>
              <w:jc w:val="left"/>
              <w:rPr>
                <w:rFonts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1、进度计划及措施科学可行,安排得当，得8分；</w:t>
            </w:r>
          </w:p>
          <w:p w14:paraId="33DAB0CE">
            <w:pPr>
              <w:widowControl/>
              <w:shd w:val="clear" w:color="auto" w:fill="FFFFFF"/>
              <w:spacing w:line="400" w:lineRule="exact"/>
              <w:rPr>
                <w:rFonts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2、进度计划及措施比较合理，安排基本满足，得6分；</w:t>
            </w:r>
          </w:p>
          <w:p w14:paraId="15950E40">
            <w:pPr>
              <w:widowControl/>
              <w:shd w:val="clear" w:color="auto" w:fill="FFFFFF"/>
              <w:spacing w:line="400" w:lineRule="exact"/>
              <w:rPr>
                <w:rFonts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3、进度计划及措施一般,安排一般，得4分；</w:t>
            </w:r>
          </w:p>
          <w:p w14:paraId="72AF7D88">
            <w:pPr>
              <w:widowControl/>
              <w:shd w:val="clear" w:color="auto" w:fill="FFFFFF"/>
              <w:spacing w:line="400" w:lineRule="exact"/>
              <w:rPr>
                <w:rFonts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4、进度计划及措施较差,安排较差，得2分</w:t>
            </w:r>
          </w:p>
          <w:p w14:paraId="693ADE0F">
            <w:pPr>
              <w:widowControl/>
              <w:shd w:val="clear" w:color="auto" w:fill="FFFFFF"/>
              <w:spacing w:line="40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未提供不得分。</w:t>
            </w:r>
          </w:p>
        </w:tc>
      </w:tr>
      <w:tr w14:paraId="5233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567" w:type="pct"/>
            <w:vMerge w:val="continue"/>
            <w:tcBorders>
              <w:left w:val="single" w:color="auto" w:sz="4" w:space="0"/>
              <w:right w:val="single" w:color="auto" w:sz="4" w:space="0"/>
            </w:tcBorders>
            <w:vAlign w:val="center"/>
          </w:tcPr>
          <w:p w14:paraId="5710B243">
            <w:pPr>
              <w:spacing w:line="400" w:lineRule="exact"/>
              <w:ind w:firstLine="420"/>
              <w:jc w:val="center"/>
              <w:rPr>
                <w:rFonts w:ascii="宋体" w:hAnsi="宋体" w:eastAsia="宋体" w:cs="宋体"/>
                <w:color w:val="000000" w:themeColor="text1"/>
                <w:szCs w:val="21"/>
                <w:highlight w:val="none"/>
                <w14:textFill>
                  <w14:solidFill>
                    <w14:schemeClr w14:val="tx1"/>
                  </w14:solidFill>
                </w14:textFill>
              </w:rPr>
            </w:pPr>
          </w:p>
        </w:tc>
        <w:tc>
          <w:tcPr>
            <w:tcW w:w="556" w:type="pct"/>
            <w:tcBorders>
              <w:left w:val="single" w:color="auto" w:sz="4" w:space="0"/>
              <w:right w:val="single" w:color="auto" w:sz="4" w:space="0"/>
            </w:tcBorders>
            <w:vAlign w:val="center"/>
          </w:tcPr>
          <w:p w14:paraId="3E7EEF57">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售后服务</w:t>
            </w:r>
          </w:p>
        </w:tc>
        <w:tc>
          <w:tcPr>
            <w:tcW w:w="363" w:type="pct"/>
            <w:tcBorders>
              <w:left w:val="single" w:color="auto" w:sz="4" w:space="0"/>
              <w:right w:val="single" w:color="auto" w:sz="4" w:space="0"/>
            </w:tcBorders>
            <w:vAlign w:val="center"/>
          </w:tcPr>
          <w:p w14:paraId="3AD946C6">
            <w:pPr>
              <w:spacing w:line="360" w:lineRule="exact"/>
              <w:jc w:val="center"/>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5分</w:t>
            </w:r>
          </w:p>
        </w:tc>
        <w:tc>
          <w:tcPr>
            <w:tcW w:w="3514" w:type="pct"/>
            <w:tcBorders>
              <w:top w:val="single" w:color="auto" w:sz="4" w:space="0"/>
              <w:left w:val="single" w:color="auto" w:sz="4" w:space="0"/>
              <w:bottom w:val="single" w:color="auto" w:sz="4" w:space="0"/>
              <w:right w:val="single" w:color="auto" w:sz="4" w:space="0"/>
            </w:tcBorders>
            <w:vAlign w:val="center"/>
          </w:tcPr>
          <w:p w14:paraId="52DCA44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投标人提供售后服务方案，包含但不限于定期维护、定期回访、保修期外维修时零配件优惠折扣率及其他优惠等相关内容：</w:t>
            </w:r>
          </w:p>
          <w:p w14:paraId="13C8E7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1、方案详实具体切实可行的得5分；</w:t>
            </w:r>
          </w:p>
          <w:p w14:paraId="64EE315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2、方案较为详细较为合理的得3分；</w:t>
            </w:r>
          </w:p>
          <w:p w14:paraId="0B4CE3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3、方案详实程度及合理性一般得1分；</w:t>
            </w:r>
          </w:p>
          <w:p w14:paraId="2D956CD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未提供的不得分。</w:t>
            </w:r>
          </w:p>
        </w:tc>
      </w:tr>
      <w:tr w14:paraId="2FFA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567" w:type="pct"/>
            <w:vMerge w:val="continue"/>
            <w:tcBorders>
              <w:left w:val="single" w:color="auto" w:sz="4" w:space="0"/>
              <w:right w:val="single" w:color="auto" w:sz="4" w:space="0"/>
            </w:tcBorders>
            <w:vAlign w:val="center"/>
          </w:tcPr>
          <w:p w14:paraId="026CEAB3">
            <w:pPr>
              <w:spacing w:line="400" w:lineRule="exact"/>
              <w:ind w:firstLine="420"/>
              <w:jc w:val="center"/>
              <w:rPr>
                <w:rFonts w:ascii="宋体" w:hAnsi="宋体" w:eastAsia="宋体" w:cs="宋体"/>
                <w:color w:val="000000" w:themeColor="text1"/>
                <w:szCs w:val="21"/>
                <w:highlight w:val="none"/>
                <w14:textFill>
                  <w14:solidFill>
                    <w14:schemeClr w14:val="tx1"/>
                  </w14:solidFill>
                </w14:textFill>
              </w:rPr>
            </w:pPr>
          </w:p>
        </w:tc>
        <w:tc>
          <w:tcPr>
            <w:tcW w:w="556" w:type="pct"/>
            <w:tcBorders>
              <w:left w:val="single" w:color="auto" w:sz="4" w:space="0"/>
              <w:right w:val="single" w:color="auto" w:sz="4" w:space="0"/>
            </w:tcBorders>
            <w:vAlign w:val="center"/>
          </w:tcPr>
          <w:p w14:paraId="2FB753C2">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合理化建议方案</w:t>
            </w:r>
          </w:p>
        </w:tc>
        <w:tc>
          <w:tcPr>
            <w:tcW w:w="363" w:type="pct"/>
            <w:tcBorders>
              <w:left w:val="single" w:color="auto" w:sz="4" w:space="0"/>
              <w:right w:val="single" w:color="auto" w:sz="4" w:space="0"/>
            </w:tcBorders>
            <w:vAlign w:val="center"/>
          </w:tcPr>
          <w:p w14:paraId="393D3020">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6分</w:t>
            </w:r>
          </w:p>
        </w:tc>
        <w:tc>
          <w:tcPr>
            <w:tcW w:w="3514" w:type="pct"/>
            <w:tcBorders>
              <w:top w:val="single" w:color="auto" w:sz="4" w:space="0"/>
              <w:left w:val="single" w:color="auto" w:sz="4" w:space="0"/>
              <w:bottom w:val="single" w:color="auto" w:sz="4" w:space="0"/>
              <w:right w:val="single" w:color="auto" w:sz="4" w:space="0"/>
            </w:tcBorders>
            <w:vAlign w:val="center"/>
          </w:tcPr>
          <w:p w14:paraId="696604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投标人对本项目提出合理化建议且可以实施的，经评审委员会一致认可，每有1条得2分，最高得6分。</w:t>
            </w:r>
          </w:p>
        </w:tc>
      </w:tr>
      <w:bookmarkEnd w:id="77"/>
    </w:tbl>
    <w:p w14:paraId="0DCFFED1">
      <w:pPr>
        <w:spacing w:line="360" w:lineRule="auto"/>
        <w:ind w:firstLine="422"/>
        <w:jc w:val="left"/>
        <w:rPr>
          <w:rFonts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注：1、评分细则中涉及的证明材料须将原件扫描件编入投标文件供评标委员会审核，否则该项不得分。2、</w:t>
      </w:r>
      <w:r>
        <w:rPr>
          <w:rFonts w:hint="eastAsia" w:ascii="宋体" w:hAnsi="宋体" w:eastAsia="宋体" w:cs="Times New Roman"/>
          <w:b/>
          <w:color w:val="000000" w:themeColor="text1"/>
          <w:szCs w:val="24"/>
          <w:highlight w:val="none"/>
          <w14:textFill>
            <w14:solidFill>
              <w14:schemeClr w14:val="tx1"/>
            </w14:solidFill>
          </w14:textFill>
        </w:rPr>
        <w:t>提供的与评分相关的证明材料必须能清晰的表明需要明示的内容，否则由此引起后果自行承担。</w:t>
      </w:r>
    </w:p>
    <w:p w14:paraId="52DD3AF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left"/>
        <w:rPr>
          <w:rFonts w:ascii="宋体" w:hAnsi="Courier New" w:eastAsia="宋体" w:cs="Times New Roman"/>
          <w:b/>
          <w:bCs/>
          <w:color w:val="000000" w:themeColor="text1"/>
          <w:sz w:val="24"/>
          <w:szCs w:val="24"/>
          <w:highlight w:val="none"/>
          <w14:textFill>
            <w14:solidFill>
              <w14:schemeClr w14:val="tx1"/>
            </w14:solidFill>
          </w14:textFill>
        </w:rPr>
      </w:pPr>
      <w:r>
        <w:rPr>
          <w:rFonts w:hint="eastAsia" w:ascii="宋体" w:hAnsi="Courier New" w:eastAsia="宋体" w:cs="Times New Roman"/>
          <w:b/>
          <w:bCs/>
          <w:color w:val="000000" w:themeColor="text1"/>
          <w:sz w:val="24"/>
          <w:szCs w:val="24"/>
          <w:highlight w:val="none"/>
          <w14:textFill>
            <w14:solidFill>
              <w14:schemeClr w14:val="tx1"/>
            </w14:solidFill>
          </w14:textFill>
        </w:rPr>
        <w:t>五、成交标准：</w:t>
      </w:r>
    </w:p>
    <w:p w14:paraId="62D7B54F">
      <w:pPr>
        <w:tabs>
          <w:tab w:val="left" w:pos="900"/>
        </w:tabs>
        <w:spacing w:line="400" w:lineRule="exact"/>
        <w:ind w:firstLine="478"/>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磋商小组根据综合评分情况，按照评审得分由高到低顺</w:t>
      </w:r>
      <w:r>
        <w:rPr>
          <w:rFonts w:hint="eastAsia" w:ascii="宋体" w:hAnsi="宋体" w:eastAsia="宋体" w:cs="Times New Roman"/>
          <w:b/>
          <w:color w:val="000000" w:themeColor="text1"/>
          <w:sz w:val="24"/>
          <w:szCs w:val="24"/>
          <w:highlight w:val="none"/>
          <w14:textFill>
            <w14:solidFill>
              <w14:schemeClr w14:val="tx1"/>
            </w14:solidFill>
          </w14:textFill>
        </w:rPr>
        <w:t>序推荐3名及以</w:t>
      </w:r>
      <w:r>
        <w:rPr>
          <w:rFonts w:hint="eastAsia" w:ascii="宋体" w:hAnsi="宋体" w:eastAsia="宋体" w:cs="Times New Roman"/>
          <w:color w:val="000000" w:themeColor="text1"/>
          <w:sz w:val="24"/>
          <w:szCs w:val="24"/>
          <w:highlight w:val="none"/>
          <w14:textFill>
            <w14:solidFill>
              <w14:schemeClr w14:val="tx1"/>
            </w14:solidFill>
          </w14:textFill>
        </w:rPr>
        <w:t>上成交候选供应商，并编写评审报告。符合《政府采购竞争性磋商采购方式管理暂行办法》第三条第四项规定情形的，可以推荐</w:t>
      </w:r>
      <w:r>
        <w:rPr>
          <w:rFonts w:hint="eastAsia" w:ascii="宋体" w:hAnsi="宋体" w:eastAsia="宋体" w:cs="Times New Roman"/>
          <w:b/>
          <w:color w:val="000000" w:themeColor="text1"/>
          <w:sz w:val="24"/>
          <w:szCs w:val="24"/>
          <w:highlight w:val="none"/>
          <w14:textFill>
            <w14:solidFill>
              <w14:schemeClr w14:val="tx1"/>
            </w14:solidFill>
          </w14:textFill>
        </w:rPr>
        <w:t>2家成交</w:t>
      </w:r>
      <w:r>
        <w:rPr>
          <w:rFonts w:hint="eastAsia" w:ascii="宋体" w:hAnsi="宋体" w:eastAsia="宋体" w:cs="Times New Roman"/>
          <w:color w:val="000000" w:themeColor="text1"/>
          <w:sz w:val="24"/>
          <w:szCs w:val="24"/>
          <w:highlight w:val="none"/>
          <w14:textFill>
            <w14:solidFill>
              <w14:schemeClr w14:val="tx1"/>
            </w14:solidFill>
          </w14:textFill>
        </w:rPr>
        <w:t>候选供应商。评审得分相同的，按照最后报价由低到高的顺序推荐。评审得分且最后报价相同的，按照技术指标优劣顺序推荐，技术指标也相同的，由采购单位在评标现场采用随机抽取的方式确定。</w:t>
      </w:r>
    </w:p>
    <w:p w14:paraId="026B91E2">
      <w:pPr>
        <w:tabs>
          <w:tab w:val="left" w:pos="900"/>
        </w:tabs>
        <w:spacing w:line="400" w:lineRule="exact"/>
        <w:ind w:firstLine="360"/>
        <w:rPr>
          <w:rFonts w:ascii="宋体" w:hAnsi="宋体" w:eastAsia="宋体" w:cs="Times New Roman"/>
          <w:color w:val="000000" w:themeColor="text1"/>
          <w:sz w:val="24"/>
          <w:szCs w:val="24"/>
          <w:highlight w:val="none"/>
          <w14:textFill>
            <w14:solidFill>
              <w14:schemeClr w14:val="tx1"/>
            </w14:solidFill>
          </w14:textFill>
        </w:rPr>
        <w:sectPr>
          <w:pgSz w:w="11906" w:h="16838"/>
          <w:pgMar w:top="1142" w:right="1304" w:bottom="1285" w:left="1588" w:header="851" w:footer="992" w:gutter="0"/>
          <w:cols w:space="720" w:num="1"/>
          <w:docGrid w:linePitch="360" w:charSpace="0"/>
        </w:sectPr>
      </w:pPr>
      <w:r>
        <w:rPr>
          <w:rFonts w:hint="eastAsia" w:ascii="宋体" w:hAnsi="宋体" w:eastAsia="宋体" w:cs="Times New Roman"/>
          <w:color w:val="000000" w:themeColor="text1"/>
          <w:sz w:val="24"/>
          <w:szCs w:val="24"/>
          <w:highlight w:val="none"/>
          <w14:textFill>
            <w14:solidFill>
              <w14:schemeClr w14:val="tx1"/>
            </w14:solidFill>
          </w14:textFill>
        </w:rPr>
        <w:t>如果磋商小组认为在评审过程中有影响最终评审结果的不能确定的特殊问题，应在评审报告中记载，并提请采购人审议决定。</w:t>
      </w:r>
      <w:bookmarkEnd w:id="74"/>
      <w:bookmarkEnd w:id="75"/>
      <w:bookmarkEnd w:id="76"/>
    </w:p>
    <w:p w14:paraId="13D3DA92">
      <w:pPr>
        <w:tabs>
          <w:tab w:val="left" w:pos="900"/>
        </w:tabs>
        <w:spacing w:line="400" w:lineRule="exact"/>
        <w:ind w:firstLine="360"/>
        <w:rPr>
          <w:rFonts w:ascii="宋体" w:hAnsi="宋体" w:eastAsia="宋体" w:cs="Times New Roman"/>
          <w:color w:val="000000" w:themeColor="text1"/>
          <w:sz w:val="24"/>
          <w:szCs w:val="24"/>
          <w:highlight w:val="none"/>
          <w14:textFill>
            <w14:solidFill>
              <w14:schemeClr w14:val="tx1"/>
            </w14:solidFill>
          </w14:textFill>
        </w:rPr>
      </w:pPr>
    </w:p>
    <w:p w14:paraId="5E879B8A">
      <w:pPr>
        <w:rPr>
          <w:rFonts w:ascii="Times New Roman" w:hAnsi="Times New Roman" w:eastAsia="宋体" w:cs="Times New Roman"/>
          <w:color w:val="000000" w:themeColor="text1"/>
          <w:highlight w:val="none"/>
          <w14:textFill>
            <w14:solidFill>
              <w14:schemeClr w14:val="tx1"/>
            </w14:solidFill>
          </w14:textFill>
        </w:rPr>
      </w:pPr>
    </w:p>
    <w:p w14:paraId="6A56465E">
      <w:pPr>
        <w:tabs>
          <w:tab w:val="left" w:pos="900"/>
        </w:tabs>
        <w:spacing w:after="120" w:line="560" w:lineRule="exact"/>
        <w:ind w:firstLine="1100"/>
        <w:rPr>
          <w:rFonts w:ascii="黑体" w:hAnsi="Calibri" w:eastAsia="黑体" w:cs="Times New Roman"/>
          <w:color w:val="000000" w:themeColor="text1"/>
          <w:sz w:val="44"/>
          <w:szCs w:val="44"/>
          <w:highlight w:val="none"/>
          <w14:textFill>
            <w14:solidFill>
              <w14:schemeClr w14:val="tx1"/>
            </w14:solidFill>
          </w14:textFill>
        </w:rPr>
      </w:pPr>
      <w:r>
        <w:rPr>
          <w:rFonts w:hint="eastAsia" w:ascii="黑体" w:hAnsi="Calibri" w:eastAsia="黑体" w:cs="Times New Roman"/>
          <w:color w:val="000000" w:themeColor="text1"/>
          <w:sz w:val="44"/>
          <w:szCs w:val="44"/>
          <w:highlight w:val="none"/>
          <w14:textFill>
            <w14:solidFill>
              <w14:schemeClr w14:val="tx1"/>
            </w14:solidFill>
          </w14:textFill>
        </w:rPr>
        <w:t>第八章  竞争性磋商响应文件格式</w:t>
      </w:r>
    </w:p>
    <w:p w14:paraId="18AAA4A6">
      <w:pPr>
        <w:ind w:firstLine="1084"/>
        <w:rPr>
          <w:rFonts w:ascii="黑体" w:hAnsi="黑体" w:eastAsia="黑体" w:cs="Times New Roman"/>
          <w:b/>
          <w:color w:val="000000" w:themeColor="text1"/>
          <w:sz w:val="36"/>
          <w:szCs w:val="21"/>
          <w:highlight w:val="none"/>
          <w14:textFill>
            <w14:solidFill>
              <w14:schemeClr w14:val="tx1"/>
            </w14:solidFill>
          </w14:textFill>
        </w:rPr>
      </w:pPr>
    </w:p>
    <w:p w14:paraId="2E08CE92">
      <w:pPr>
        <w:spacing w:line="600" w:lineRule="exact"/>
        <w:jc w:val="center"/>
        <w:rPr>
          <w:rFonts w:ascii="宋体" w:hAnsi="宋体" w:eastAsia="宋体" w:cs="Times New Roman"/>
          <w:b/>
          <w:bCs/>
          <w:color w:val="000000" w:themeColor="text1"/>
          <w:sz w:val="48"/>
          <w:szCs w:val="48"/>
          <w:highlight w:val="none"/>
          <w14:textFill>
            <w14:solidFill>
              <w14:schemeClr w14:val="tx1"/>
            </w14:solidFill>
          </w14:textFill>
        </w:rPr>
      </w:pPr>
      <w:bookmarkStart w:id="78" w:name="_Toc386116853"/>
      <w:bookmarkStart w:id="79" w:name="_Toc391038930"/>
      <w:bookmarkStart w:id="80" w:name="_Toc390181273"/>
      <w:bookmarkStart w:id="81" w:name="_Toc386117027"/>
      <w:bookmarkStart w:id="82" w:name="_Toc391275493"/>
      <w:r>
        <w:rPr>
          <w:rFonts w:ascii="宋体" w:hAnsi="宋体" w:eastAsia="宋体" w:cs="Times New Roman"/>
          <w:b/>
          <w:color w:val="000000" w:themeColor="text1"/>
          <w:sz w:val="48"/>
          <w:szCs w:val="48"/>
          <w:highlight w:val="none"/>
          <w14:textFill>
            <w14:solidFill>
              <w14:schemeClr w14:val="tx1"/>
            </w14:solidFill>
          </w14:textFill>
        </w:rPr>
        <w:t>封面</w:t>
      </w:r>
    </w:p>
    <w:p w14:paraId="301D99E2">
      <w:pPr>
        <w:spacing w:line="600" w:lineRule="exact"/>
        <w:jc w:val="center"/>
        <w:rPr>
          <w:rFonts w:ascii="宋体" w:hAnsi="宋体" w:eastAsia="宋体" w:cs="Times New Roman"/>
          <w:color w:val="000000" w:themeColor="text1"/>
          <w:sz w:val="24"/>
          <w:szCs w:val="24"/>
          <w:highlight w:val="none"/>
          <w14:textFill>
            <w14:solidFill>
              <w14:schemeClr w14:val="tx1"/>
            </w14:solidFill>
          </w14:textFill>
        </w:rPr>
      </w:pPr>
    </w:p>
    <w:p w14:paraId="0F76E1C3">
      <w:pPr>
        <w:spacing w:line="600" w:lineRule="exact"/>
        <w:jc w:val="center"/>
        <w:rPr>
          <w:rFonts w:ascii="宋体" w:hAnsi="宋体" w:eastAsia="宋体" w:cs="Times New Roman"/>
          <w:b/>
          <w:color w:val="000000" w:themeColor="text1"/>
          <w:sz w:val="44"/>
          <w:szCs w:val="44"/>
          <w:highlight w:val="none"/>
          <w14:textFill>
            <w14:solidFill>
              <w14:schemeClr w14:val="tx1"/>
            </w14:solidFill>
          </w14:textFill>
        </w:rPr>
      </w:pPr>
    </w:p>
    <w:p w14:paraId="0FA9800A">
      <w:pPr>
        <w:spacing w:line="600" w:lineRule="exact"/>
        <w:jc w:val="center"/>
        <w:rPr>
          <w:rFonts w:ascii="宋体" w:hAnsi="宋体" w:eastAsia="宋体" w:cs="Times New Roman"/>
          <w:b/>
          <w:color w:val="000000" w:themeColor="text1"/>
          <w:sz w:val="44"/>
          <w:szCs w:val="44"/>
          <w:highlight w:val="none"/>
          <w14:textFill>
            <w14:solidFill>
              <w14:schemeClr w14:val="tx1"/>
            </w14:solidFill>
          </w14:textFill>
        </w:rPr>
      </w:pPr>
    </w:p>
    <w:p w14:paraId="7D18CE2B">
      <w:pPr>
        <w:spacing w:line="600" w:lineRule="exact"/>
        <w:jc w:val="center"/>
        <w:rPr>
          <w:rFonts w:ascii="宋体" w:hAnsi="宋体" w:eastAsia="宋体" w:cs="Times New Roman"/>
          <w:b/>
          <w:color w:val="000000" w:themeColor="text1"/>
          <w:sz w:val="44"/>
          <w:szCs w:val="44"/>
          <w:highlight w:val="none"/>
          <w14:textFill>
            <w14:solidFill>
              <w14:schemeClr w14:val="tx1"/>
            </w14:solidFill>
          </w14:textFill>
        </w:rPr>
      </w:pPr>
    </w:p>
    <w:p w14:paraId="2E072A6B">
      <w:pPr>
        <w:spacing w:line="600" w:lineRule="exact"/>
        <w:jc w:val="center"/>
        <w:rPr>
          <w:rFonts w:ascii="宋体" w:hAnsi="宋体" w:eastAsia="宋体" w:cs="Times New Roman"/>
          <w:b/>
          <w:color w:val="000000" w:themeColor="text1"/>
          <w:sz w:val="44"/>
          <w:szCs w:val="44"/>
          <w:highlight w:val="none"/>
          <w14:textFill>
            <w14:solidFill>
              <w14:schemeClr w14:val="tx1"/>
            </w14:solidFill>
          </w14:textFill>
        </w:rPr>
      </w:pPr>
      <w:r>
        <w:rPr>
          <w:rFonts w:hint="eastAsia" w:ascii="宋体" w:hAnsi="宋体" w:eastAsia="宋体" w:cs="Times New Roman"/>
          <w:b/>
          <w:color w:val="000000" w:themeColor="text1"/>
          <w:sz w:val="44"/>
          <w:szCs w:val="44"/>
          <w:highlight w:val="none"/>
          <w14:textFill>
            <w14:solidFill>
              <w14:schemeClr w14:val="tx1"/>
            </w14:solidFill>
          </w14:textFill>
        </w:rPr>
        <w:t>响  应  文   件</w:t>
      </w:r>
    </w:p>
    <w:p w14:paraId="0C4E74BE">
      <w:pPr>
        <w:spacing w:line="600" w:lineRule="exact"/>
        <w:jc w:val="center"/>
        <w:rPr>
          <w:rFonts w:ascii="宋体" w:hAnsi="宋体" w:eastAsia="宋体" w:cs="Times New Roman"/>
          <w:color w:val="000000" w:themeColor="text1"/>
          <w:sz w:val="24"/>
          <w:szCs w:val="24"/>
          <w:highlight w:val="none"/>
          <w14:textFill>
            <w14:solidFill>
              <w14:schemeClr w14:val="tx1"/>
            </w14:solidFill>
          </w14:textFill>
        </w:rPr>
      </w:pPr>
    </w:p>
    <w:p w14:paraId="698AAE23">
      <w:pPr>
        <w:spacing w:line="600" w:lineRule="exact"/>
        <w:ind w:firstLine="2875"/>
        <w:rPr>
          <w:rFonts w:ascii="宋体" w:hAnsi="宋体" w:eastAsia="宋体" w:cs="Times New Roman"/>
          <w:b/>
          <w:color w:val="000000" w:themeColor="text1"/>
          <w:sz w:val="32"/>
          <w:szCs w:val="32"/>
          <w:highlight w:val="none"/>
          <w14:textFill>
            <w14:solidFill>
              <w14:schemeClr w14:val="tx1"/>
            </w14:solidFill>
          </w14:textFill>
        </w:rPr>
      </w:pPr>
    </w:p>
    <w:p w14:paraId="76DEC43D">
      <w:pPr>
        <w:spacing w:line="600" w:lineRule="exact"/>
        <w:ind w:firstLine="2875"/>
        <w:rPr>
          <w:rFonts w:ascii="宋体" w:hAnsi="宋体" w:eastAsia="宋体" w:cs="Times New Roman"/>
          <w:b/>
          <w:color w:val="000000" w:themeColor="text1"/>
          <w:sz w:val="32"/>
          <w:szCs w:val="32"/>
          <w:highlight w:val="none"/>
          <w14:textFill>
            <w14:solidFill>
              <w14:schemeClr w14:val="tx1"/>
            </w14:solidFill>
          </w14:textFill>
        </w:rPr>
      </w:pPr>
    </w:p>
    <w:p w14:paraId="047F7B43">
      <w:pPr>
        <w:spacing w:line="600" w:lineRule="exact"/>
        <w:ind w:firstLine="2875"/>
        <w:rPr>
          <w:rFonts w:ascii="宋体" w:hAnsi="宋体" w:eastAsia="宋体" w:cs="Times New Roman"/>
          <w:b/>
          <w:color w:val="000000" w:themeColor="text1"/>
          <w:sz w:val="32"/>
          <w:szCs w:val="32"/>
          <w:highlight w:val="none"/>
          <w14:textFill>
            <w14:solidFill>
              <w14:schemeClr w14:val="tx1"/>
            </w14:solidFill>
          </w14:textFill>
        </w:rPr>
      </w:pPr>
    </w:p>
    <w:p w14:paraId="77CF8E65">
      <w:pPr>
        <w:spacing w:line="600" w:lineRule="exact"/>
        <w:ind w:firstLine="1430"/>
        <w:rPr>
          <w:rFonts w:ascii="宋体" w:hAnsi="宋体" w:eastAsia="宋体" w:cs="Times New Roman"/>
          <w:color w:val="000000" w:themeColor="text1"/>
          <w:sz w:val="32"/>
          <w:szCs w:val="32"/>
          <w:highlight w:val="none"/>
          <w:u w:val="single"/>
          <w14:textFill>
            <w14:solidFill>
              <w14:schemeClr w14:val="tx1"/>
            </w14:solidFill>
          </w14:textFill>
        </w:rPr>
      </w:pPr>
      <w:r>
        <w:rPr>
          <w:rFonts w:hint="eastAsia" w:ascii="宋体" w:hAnsi="宋体" w:eastAsia="宋体" w:cs="Times New Roman"/>
          <w:b/>
          <w:color w:val="000000" w:themeColor="text1"/>
          <w:sz w:val="32"/>
          <w:szCs w:val="32"/>
          <w:highlight w:val="none"/>
          <w14:textFill>
            <w14:solidFill>
              <w14:schemeClr w14:val="tx1"/>
            </w14:solidFill>
          </w14:textFill>
        </w:rPr>
        <w:t xml:space="preserve">项目名称： </w:t>
      </w:r>
      <w:r>
        <w:rPr>
          <w:rFonts w:hint="eastAsia" w:ascii="宋体" w:hAnsi="宋体" w:eastAsia="宋体" w:cs="Times New Roman"/>
          <w:b/>
          <w:color w:val="000000" w:themeColor="text1"/>
          <w:sz w:val="32"/>
          <w:szCs w:val="32"/>
          <w:highlight w:val="none"/>
          <w:u w:val="single"/>
          <w14:textFill>
            <w14:solidFill>
              <w14:schemeClr w14:val="tx1"/>
            </w14:solidFill>
          </w14:textFill>
        </w:rPr>
        <w:t xml:space="preserve">                         </w:t>
      </w:r>
    </w:p>
    <w:p w14:paraId="5C53D0D9">
      <w:pPr>
        <w:spacing w:line="600" w:lineRule="exact"/>
        <w:ind w:firstLine="1430"/>
        <w:rPr>
          <w:rFonts w:ascii="宋体" w:hAnsi="宋体" w:eastAsia="宋体" w:cs="Times New Roman"/>
          <w:b/>
          <w:color w:val="000000" w:themeColor="text1"/>
          <w:sz w:val="32"/>
          <w:szCs w:val="32"/>
          <w:highlight w:val="none"/>
          <w:u w:val="single"/>
          <w14:textFill>
            <w14:solidFill>
              <w14:schemeClr w14:val="tx1"/>
            </w14:solidFill>
          </w14:textFill>
        </w:rPr>
      </w:pPr>
      <w:r>
        <w:rPr>
          <w:rFonts w:hint="eastAsia" w:ascii="宋体" w:hAnsi="宋体" w:eastAsia="宋体" w:cs="Times New Roman"/>
          <w:b/>
          <w:color w:val="000000" w:themeColor="text1"/>
          <w:sz w:val="32"/>
          <w:szCs w:val="32"/>
          <w:highlight w:val="none"/>
          <w14:textFill>
            <w14:solidFill>
              <w14:schemeClr w14:val="tx1"/>
            </w14:solidFill>
          </w14:textFill>
        </w:rPr>
        <w:t>项目编号：</w:t>
      </w:r>
      <w:r>
        <w:rPr>
          <w:rFonts w:hint="eastAsia" w:ascii="宋体" w:hAnsi="宋体" w:eastAsia="宋体" w:cs="Times New Roman"/>
          <w:b/>
          <w:color w:val="000000" w:themeColor="text1"/>
          <w:sz w:val="32"/>
          <w:szCs w:val="32"/>
          <w:highlight w:val="none"/>
          <w:u w:val="single"/>
          <w14:textFill>
            <w14:solidFill>
              <w14:schemeClr w14:val="tx1"/>
            </w14:solidFill>
          </w14:textFill>
        </w:rPr>
        <w:t xml:space="preserve">                          </w:t>
      </w:r>
    </w:p>
    <w:p w14:paraId="2ED634F4">
      <w:pPr>
        <w:spacing w:line="600" w:lineRule="exact"/>
        <w:ind w:firstLine="1430"/>
        <w:rPr>
          <w:rFonts w:ascii="宋体" w:hAnsi="宋体" w:eastAsia="宋体" w:cs="Times New Roman"/>
          <w:b/>
          <w:color w:val="000000" w:themeColor="text1"/>
          <w:sz w:val="32"/>
          <w:szCs w:val="32"/>
          <w:highlight w:val="none"/>
          <w:u w:val="single"/>
          <w14:textFill>
            <w14:solidFill>
              <w14:schemeClr w14:val="tx1"/>
            </w14:solidFill>
          </w14:textFill>
        </w:rPr>
      </w:pPr>
      <w:r>
        <w:rPr>
          <w:rFonts w:hint="eastAsia" w:ascii="宋体" w:hAnsi="宋体" w:eastAsia="宋体" w:cs="Times New Roman"/>
          <w:b/>
          <w:color w:val="000000" w:themeColor="text1"/>
          <w:sz w:val="32"/>
          <w:szCs w:val="32"/>
          <w:highlight w:val="none"/>
          <w14:textFill>
            <w14:solidFill>
              <w14:schemeClr w14:val="tx1"/>
            </w14:solidFill>
          </w14:textFill>
        </w:rPr>
        <w:t>标段（采购包）名称：</w:t>
      </w:r>
      <w:r>
        <w:rPr>
          <w:rFonts w:hint="eastAsia" w:ascii="宋体" w:hAnsi="宋体" w:eastAsia="宋体" w:cs="Times New Roman"/>
          <w:b/>
          <w:color w:val="000000" w:themeColor="text1"/>
          <w:sz w:val="32"/>
          <w:szCs w:val="32"/>
          <w:highlight w:val="none"/>
          <w:u w:val="single"/>
          <w14:textFill>
            <w14:solidFill>
              <w14:schemeClr w14:val="tx1"/>
            </w14:solidFill>
          </w14:textFill>
        </w:rPr>
        <w:t xml:space="preserve">                </w:t>
      </w:r>
    </w:p>
    <w:p w14:paraId="02002B48">
      <w:pPr>
        <w:spacing w:line="600" w:lineRule="exact"/>
        <w:ind w:firstLine="1430"/>
        <w:rPr>
          <w:rFonts w:ascii="宋体" w:hAnsi="宋体" w:eastAsia="宋体" w:cs="Times New Roman"/>
          <w:b/>
          <w:color w:val="000000" w:themeColor="text1"/>
          <w:sz w:val="32"/>
          <w:szCs w:val="32"/>
          <w:highlight w:val="none"/>
          <w14:textFill>
            <w14:solidFill>
              <w14:schemeClr w14:val="tx1"/>
            </w14:solidFill>
          </w14:textFill>
        </w:rPr>
      </w:pPr>
    </w:p>
    <w:p w14:paraId="0FB898F0">
      <w:pPr>
        <w:spacing w:line="600" w:lineRule="exact"/>
        <w:rPr>
          <w:rFonts w:ascii="宋体" w:hAnsi="宋体" w:eastAsia="宋体" w:cs="Times New Roman"/>
          <w:color w:val="000000" w:themeColor="text1"/>
          <w:sz w:val="32"/>
          <w:szCs w:val="32"/>
          <w:highlight w:val="none"/>
          <w14:textFill>
            <w14:solidFill>
              <w14:schemeClr w14:val="tx1"/>
            </w14:solidFill>
          </w14:textFill>
        </w:rPr>
      </w:pPr>
    </w:p>
    <w:p w14:paraId="73CE0DE9">
      <w:pPr>
        <w:spacing w:line="600" w:lineRule="exact"/>
        <w:rPr>
          <w:rFonts w:ascii="宋体" w:hAnsi="宋体" w:eastAsia="宋体" w:cs="Times New Roman"/>
          <w:color w:val="000000" w:themeColor="text1"/>
          <w:sz w:val="32"/>
          <w:szCs w:val="32"/>
          <w:highlight w:val="none"/>
          <w14:textFill>
            <w14:solidFill>
              <w14:schemeClr w14:val="tx1"/>
            </w14:solidFill>
          </w14:textFill>
        </w:rPr>
      </w:pPr>
    </w:p>
    <w:p w14:paraId="14F553E3">
      <w:pPr>
        <w:spacing w:line="600" w:lineRule="exact"/>
        <w:rPr>
          <w:rFonts w:ascii="宋体" w:hAnsi="宋体" w:eastAsia="宋体" w:cs="Times New Roman"/>
          <w:color w:val="000000" w:themeColor="text1"/>
          <w:sz w:val="32"/>
          <w:szCs w:val="32"/>
          <w:highlight w:val="none"/>
          <w14:textFill>
            <w14:solidFill>
              <w14:schemeClr w14:val="tx1"/>
            </w14:solidFill>
          </w14:textFill>
        </w:rPr>
      </w:pPr>
    </w:p>
    <w:p w14:paraId="1EF96BF3">
      <w:pPr>
        <w:spacing w:line="600" w:lineRule="exact"/>
        <w:ind w:firstLine="2080"/>
        <w:rPr>
          <w:rFonts w:ascii="宋体" w:hAnsi="宋体" w:eastAsia="宋体" w:cs="Times New Roman"/>
          <w:color w:val="000000" w:themeColor="text1"/>
          <w:sz w:val="32"/>
          <w:szCs w:val="32"/>
          <w:highlight w:val="none"/>
          <w:u w:val="singl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t>供应商（盖公章）：</w:t>
      </w:r>
    </w:p>
    <w:p w14:paraId="490F6113">
      <w:pPr>
        <w:spacing w:line="600" w:lineRule="exact"/>
        <w:ind w:firstLine="2080"/>
        <w:rPr>
          <w:rFonts w:ascii="宋体" w:hAnsi="宋体" w:eastAsia="宋体" w:cs="Times New Roman"/>
          <w:color w:val="000000" w:themeColor="text1"/>
          <w:sz w:val="32"/>
          <w:szCs w:val="32"/>
          <w:highlight w:val="none"/>
          <w:u w:val="singl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t>法定代表人/委托代理人（印鉴或签名）：</w:t>
      </w:r>
    </w:p>
    <w:p w14:paraId="6DD8B17F">
      <w:pPr>
        <w:spacing w:line="600" w:lineRule="exact"/>
        <w:ind w:firstLine="2080"/>
        <w:rPr>
          <w:rFonts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t>日      期：</w:t>
      </w:r>
    </w:p>
    <w:p w14:paraId="351496E1">
      <w:pPr>
        <w:widowControl/>
        <w:spacing w:before="100" w:beforeAutospacing="1" w:after="100" w:afterAutospacing="1" w:line="323" w:lineRule="atLeast"/>
        <w:jc w:val="center"/>
        <w:rPr>
          <w:rFonts w:cs="Arial" w:asciiTheme="minorEastAsia" w:hAnsiTheme="minorEastAsia"/>
          <w:b/>
          <w:bCs/>
          <w:color w:val="000000" w:themeColor="text1"/>
          <w:sz w:val="28"/>
          <w:szCs w:val="28"/>
          <w:highlight w:val="none"/>
          <w14:textFill>
            <w14:solidFill>
              <w14:schemeClr w14:val="tx1"/>
            </w14:solidFill>
          </w14:textFill>
        </w:rPr>
      </w:pPr>
    </w:p>
    <w:p w14:paraId="2EA921B3">
      <w:pPr>
        <w:widowControl/>
        <w:spacing w:before="100" w:beforeAutospacing="1" w:after="100" w:afterAutospacing="1" w:line="323" w:lineRule="atLeast"/>
        <w:jc w:val="center"/>
        <w:rPr>
          <w:rFonts w:cs="Arial" w:asciiTheme="minorEastAsia" w:hAnsiTheme="minorEastAsia"/>
          <w:b/>
          <w:bCs/>
          <w:color w:val="000000" w:themeColor="text1"/>
          <w:sz w:val="28"/>
          <w:szCs w:val="28"/>
          <w:highlight w:val="none"/>
          <w14:textFill>
            <w14:solidFill>
              <w14:schemeClr w14:val="tx1"/>
            </w14:solidFill>
          </w14:textFill>
        </w:rPr>
      </w:pPr>
      <w:r>
        <w:rPr>
          <w:rFonts w:hint="eastAsia" w:cs="Arial" w:asciiTheme="minorEastAsia" w:hAnsiTheme="minorEastAsia"/>
          <w:b/>
          <w:bCs/>
          <w:color w:val="000000" w:themeColor="text1"/>
          <w:sz w:val="28"/>
          <w:szCs w:val="28"/>
          <w:highlight w:val="none"/>
          <w14:textFill>
            <w14:solidFill>
              <w14:schemeClr w14:val="tx1"/>
            </w14:solidFill>
          </w14:textFill>
        </w:rPr>
        <w:t>1.响应函</w:t>
      </w:r>
    </w:p>
    <w:p w14:paraId="0772C5F5">
      <w:pPr>
        <w:spacing w:line="360" w:lineRule="auto"/>
        <w:rPr>
          <w:rFonts w:cs="Arial" w:asciiTheme="minorEastAsia" w:hAnsiTheme="minorEastAsia"/>
          <w:bCs/>
          <w:color w:val="000000" w:themeColor="text1"/>
          <w:sz w:val="28"/>
          <w:szCs w:val="28"/>
          <w:highlight w:val="none"/>
          <w:u w:val="singl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致：</w:t>
      </w:r>
      <w:r>
        <w:rPr>
          <w:rFonts w:hint="eastAsia" w:cs="Arial" w:asciiTheme="minorEastAsia" w:hAnsiTheme="minorEastAsia"/>
          <w:bCs/>
          <w:color w:val="000000" w:themeColor="text1"/>
          <w:sz w:val="28"/>
          <w:szCs w:val="28"/>
          <w:highlight w:val="none"/>
          <w:u w:val="single"/>
          <w14:textFill>
            <w14:solidFill>
              <w14:schemeClr w14:val="tx1"/>
            </w14:solidFill>
          </w14:textFill>
        </w:rPr>
        <w:t xml:space="preserve">    （采购单位）     </w:t>
      </w:r>
    </w:p>
    <w:p w14:paraId="41FF364A">
      <w:pPr>
        <w:spacing w:line="360" w:lineRule="auto"/>
        <w:ind w:firstLine="355"/>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根据已收到的采购编号为</w:t>
      </w:r>
      <w:r>
        <w:rPr>
          <w:rFonts w:hint="eastAsia" w:cs="Arial" w:asciiTheme="minorEastAsia" w:hAnsiTheme="minorEastAsia"/>
          <w:bCs/>
          <w:color w:val="000000" w:themeColor="text1"/>
          <w:sz w:val="24"/>
          <w:szCs w:val="24"/>
          <w:highlight w:val="none"/>
          <w:u w:val="single"/>
          <w14:textFill>
            <w14:solidFill>
              <w14:schemeClr w14:val="tx1"/>
            </w14:solidFill>
          </w14:textFill>
        </w:rPr>
        <w:t xml:space="preserve">    (项目编号</w:t>
      </w:r>
      <w:r>
        <w:rPr>
          <w:rFonts w:hint="eastAsia" w:cs="Arial" w:asciiTheme="minorEastAsia" w:hAnsiTheme="minorEastAsia"/>
          <w:bCs/>
          <w:color w:val="000000" w:themeColor="text1"/>
          <w:sz w:val="24"/>
          <w:szCs w:val="24"/>
          <w:highlight w:val="none"/>
          <w14:textFill>
            <w14:solidFill>
              <w14:schemeClr w14:val="tx1"/>
            </w14:solidFill>
          </w14:textFill>
        </w:rPr>
        <w:t>)的</w:t>
      </w:r>
      <w:r>
        <w:rPr>
          <w:rFonts w:hint="eastAsia" w:cs="Arial" w:asciiTheme="minorEastAsia" w:hAnsiTheme="minorEastAsia"/>
          <w:bCs/>
          <w:color w:val="000000" w:themeColor="text1"/>
          <w:sz w:val="24"/>
          <w:szCs w:val="24"/>
          <w:highlight w:val="none"/>
          <w:u w:val="single"/>
          <w14:textFill>
            <w14:solidFill>
              <w14:schemeClr w14:val="tx1"/>
            </w14:solidFill>
          </w14:textFill>
        </w:rPr>
        <w:t>(采购包名称)</w:t>
      </w:r>
      <w:r>
        <w:rPr>
          <w:rFonts w:hint="eastAsia" w:cs="Arial" w:asciiTheme="minorEastAsia" w:hAnsiTheme="minorEastAsia"/>
          <w:bCs/>
          <w:color w:val="000000" w:themeColor="text1"/>
          <w:sz w:val="24"/>
          <w:szCs w:val="24"/>
          <w:highlight w:val="none"/>
          <w14:textFill>
            <w14:solidFill>
              <w14:schemeClr w14:val="tx1"/>
            </w14:solidFill>
          </w14:textFill>
        </w:rPr>
        <w:t>工程的采购文件(包括补</w:t>
      </w:r>
    </w:p>
    <w:p w14:paraId="77F27A22">
      <w:pPr>
        <w:spacing w:line="360" w:lineRule="auto"/>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充通知)，遵照《中华人民共和国政府采购法》及相关法律的规定，我单位经考察现场和研究上述工程采购文件后，我方愿以</w:t>
      </w:r>
      <w:r>
        <w:rPr>
          <w:rFonts w:hint="eastAsia" w:cs="Arial" w:asciiTheme="minorEastAsia" w:hAnsiTheme="minorEastAsia"/>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
          <w:bCs/>
          <w:color w:val="000000" w:themeColor="text1"/>
          <w:sz w:val="24"/>
          <w:szCs w:val="24"/>
          <w:highlight w:val="none"/>
          <w:u w:val="single"/>
          <w14:textFill>
            <w14:solidFill>
              <w14:schemeClr w14:val="tx1"/>
            </w14:solidFill>
          </w14:textFill>
        </w:rPr>
        <w:t xml:space="preserve">   元(大写: </w:t>
      </w:r>
      <w:r>
        <w:rPr>
          <w:rFonts w:hint="eastAsia" w:cs="Arial" w:asciiTheme="minorEastAsia" w:hAnsiTheme="minorEastAsia"/>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Cs/>
          <w:color w:val="000000" w:themeColor="text1"/>
          <w:sz w:val="24"/>
          <w:szCs w:val="24"/>
          <w:highlight w:val="none"/>
          <w14:textFill>
            <w14:solidFill>
              <w14:schemeClr w14:val="tx1"/>
            </w14:solidFill>
          </w14:textFill>
        </w:rPr>
        <w:t xml:space="preserve">的总价，按采购文件的要求承包本次采购范围内的全部工程，并承担相关的责任。  </w:t>
      </w:r>
    </w:p>
    <w:p w14:paraId="32F15B50">
      <w:pPr>
        <w:spacing w:line="360" w:lineRule="auto"/>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(二)我方提交的响应文件(包括报价书、已标价的工程量清单和其它响应文件)在磋商（谈判）截止时间后的</w:t>
      </w:r>
      <w:r>
        <w:rPr>
          <w:rFonts w:hint="eastAsia" w:cs="Arial" w:asciiTheme="minorEastAsia" w:hAnsiTheme="minorEastAsia"/>
          <w:b/>
          <w:bCs/>
          <w:color w:val="000000" w:themeColor="text1"/>
          <w:sz w:val="24"/>
          <w:szCs w:val="24"/>
          <w:highlight w:val="none"/>
          <w:u w:val="single"/>
          <w14:textFill>
            <w14:solidFill>
              <w14:schemeClr w14:val="tx1"/>
            </w14:solidFill>
          </w14:textFill>
        </w:rPr>
        <w:t>60天</w:t>
      </w:r>
      <w:r>
        <w:rPr>
          <w:rFonts w:hint="eastAsia" w:cs="Arial" w:asciiTheme="minorEastAsia" w:hAnsiTheme="minorEastAsia"/>
          <w:bCs/>
          <w:color w:val="000000" w:themeColor="text1"/>
          <w:sz w:val="24"/>
          <w:szCs w:val="24"/>
          <w:highlight w:val="none"/>
          <w14:textFill>
            <w14:solidFill>
              <w14:schemeClr w14:val="tx1"/>
            </w14:solidFill>
          </w14:textFill>
        </w:rPr>
        <w:t xml:space="preserve">内有效，在此期间被你方接受的上述文件对我方一直具有约束力。我方保证在响应文件有效期内不撤回响应文件，除采购文件另有规定外，不修改响应文件。 </w:t>
      </w:r>
    </w:p>
    <w:p w14:paraId="1BDDB520">
      <w:pPr>
        <w:spacing w:line="360" w:lineRule="auto"/>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 xml:space="preserve"> (三)我单位保证在收到贵单位发出的书面开工令后立即开工，并在 </w:t>
      </w:r>
      <w:r>
        <w:rPr>
          <w:rFonts w:hint="eastAsia" w:cs="Arial" w:asciiTheme="minorEastAsia" w:hAnsiTheme="minorEastAsia"/>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
          <w:bCs/>
          <w:color w:val="000000" w:themeColor="text1"/>
          <w:sz w:val="24"/>
          <w:szCs w:val="24"/>
          <w:highlight w:val="none"/>
          <w14:textFill>
            <w14:solidFill>
              <w14:schemeClr w14:val="tx1"/>
            </w14:solidFill>
          </w14:textFill>
        </w:rPr>
        <w:t>天</w:t>
      </w:r>
      <w:r>
        <w:rPr>
          <w:rFonts w:hint="eastAsia" w:cs="Arial" w:asciiTheme="minorEastAsia" w:hAnsiTheme="minorEastAsia"/>
          <w:bCs/>
          <w:color w:val="000000" w:themeColor="text1"/>
          <w:sz w:val="24"/>
          <w:szCs w:val="24"/>
          <w:highlight w:val="none"/>
          <w14:textFill>
            <w14:solidFill>
              <w14:schemeClr w14:val="tx1"/>
            </w14:solidFill>
          </w14:textFill>
        </w:rPr>
        <w:t>内竣工。</w:t>
      </w:r>
    </w:p>
    <w:p w14:paraId="03C7A006">
      <w:pPr>
        <w:spacing w:line="360" w:lineRule="auto"/>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 xml:space="preserve"> (四)我单位保证本工程</w:t>
      </w:r>
      <w:r>
        <w:rPr>
          <w:rFonts w:hint="eastAsia" w:cs="Arial" w:asciiTheme="minorEastAsia" w:hAnsiTheme="minorEastAsia"/>
          <w:b/>
          <w:bCs/>
          <w:color w:val="000000" w:themeColor="text1"/>
          <w:sz w:val="24"/>
          <w:szCs w:val="24"/>
          <w:highlight w:val="none"/>
          <w14:textFill>
            <w14:solidFill>
              <w14:schemeClr w14:val="tx1"/>
            </w14:solidFill>
          </w14:textFill>
        </w:rPr>
        <w:t xml:space="preserve">质量达到 </w:t>
      </w:r>
      <w:r>
        <w:rPr>
          <w:rFonts w:hint="eastAsia" w:cs="Arial" w:asciiTheme="minorEastAsia" w:hAnsiTheme="minorEastAsia"/>
          <w:b/>
          <w:bCs/>
          <w:color w:val="000000" w:themeColor="text1"/>
          <w:sz w:val="24"/>
          <w:szCs w:val="24"/>
          <w:highlight w:val="none"/>
          <w:u w:val="single"/>
          <w14:textFill>
            <w14:solidFill>
              <w14:schemeClr w14:val="tx1"/>
            </w14:solidFill>
          </w14:textFill>
        </w:rPr>
        <w:t xml:space="preserve"> </w:t>
      </w:r>
      <w:r>
        <w:rPr>
          <w:rFonts w:hint="eastAsia" w:eastAsia="宋体" w:cs="Arial" w:asciiTheme="minorEastAsia" w:hAnsiTheme="minorEastAsia"/>
          <w:b/>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Cs/>
          <w:color w:val="000000" w:themeColor="text1"/>
          <w:sz w:val="24"/>
          <w:szCs w:val="24"/>
          <w:highlight w:val="none"/>
          <w14:textFill>
            <w14:solidFill>
              <w14:schemeClr w14:val="tx1"/>
            </w14:solidFill>
          </w14:textFill>
        </w:rPr>
        <w:t xml:space="preserve">。  </w:t>
      </w:r>
    </w:p>
    <w:p w14:paraId="56A17134">
      <w:pPr>
        <w:spacing w:line="360" w:lineRule="auto"/>
        <w:ind w:firstLine="120"/>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(五)我单位保证在成交后派出</w:t>
      </w:r>
      <w:r>
        <w:rPr>
          <w:rFonts w:hint="eastAsia" w:cs="Arial" w:asciiTheme="minorEastAsia" w:hAnsiTheme="minorEastAsia"/>
          <w:b/>
          <w:bCs/>
          <w:color w:val="000000" w:themeColor="text1"/>
          <w:sz w:val="24"/>
          <w:szCs w:val="24"/>
          <w:highlight w:val="none"/>
          <w:u w:val="single"/>
          <w14:textFill>
            <w14:solidFill>
              <w14:schemeClr w14:val="tx1"/>
            </w14:solidFill>
          </w14:textFill>
        </w:rPr>
        <w:t>项目负责人(姓名</w:t>
      </w:r>
      <w:r>
        <w:rPr>
          <w:rFonts w:hint="eastAsia" w:cs="Arial" w:asciiTheme="minorEastAsia" w:hAnsiTheme="minorEastAsia"/>
          <w:bCs/>
          <w:color w:val="000000" w:themeColor="text1"/>
          <w:sz w:val="24"/>
          <w:szCs w:val="24"/>
          <w:highlight w:val="none"/>
          <w:u w:val="single"/>
          <w14:textFill>
            <w14:solidFill>
              <w14:schemeClr w14:val="tx1"/>
            </w14:solidFill>
          </w14:textFill>
        </w:rPr>
        <w:t>)</w:t>
      </w:r>
      <w:r>
        <w:rPr>
          <w:rFonts w:hint="eastAsia" w:cs="Arial" w:asciiTheme="minorEastAsia" w:hAnsiTheme="minorEastAsia"/>
          <w:b/>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Cs/>
          <w:color w:val="000000" w:themeColor="text1"/>
          <w:sz w:val="24"/>
          <w:szCs w:val="24"/>
          <w:highlight w:val="none"/>
          <w14:textFill>
            <w14:solidFill>
              <w14:schemeClr w14:val="tx1"/>
            </w14:solidFill>
          </w14:textFill>
        </w:rPr>
        <w:t>同志(</w:t>
      </w:r>
      <w:r>
        <w:rPr>
          <w:rFonts w:hint="eastAsia" w:cs="Arial" w:asciiTheme="minorEastAsia" w:hAnsiTheme="minorEastAsia"/>
          <w:b/>
          <w:bCs/>
          <w:color w:val="000000" w:themeColor="text1"/>
          <w:sz w:val="24"/>
          <w:szCs w:val="24"/>
          <w:highlight w:val="none"/>
          <w14:textFill>
            <w14:solidFill>
              <w14:schemeClr w14:val="tx1"/>
            </w14:solidFill>
          </w14:textFill>
        </w:rPr>
        <w:t>身份证号：</w:t>
      </w:r>
      <w:r>
        <w:rPr>
          <w:rFonts w:hint="eastAsia" w:cs="Arial" w:asciiTheme="minorEastAsia" w:hAnsiTheme="minorEastAsia"/>
          <w:b/>
          <w:bCs/>
          <w:color w:val="000000" w:themeColor="text1"/>
          <w:sz w:val="24"/>
          <w:szCs w:val="24"/>
          <w:highlight w:val="none"/>
          <w:u w:val="single"/>
          <w14:textFill>
            <w14:solidFill>
              <w14:schemeClr w14:val="tx1"/>
            </w14:solidFill>
          </w14:textFill>
        </w:rPr>
        <w:t xml:space="preserve">     </w:t>
      </w:r>
      <w:r>
        <w:rPr>
          <w:rFonts w:hint="eastAsia" w:cs="Arial" w:asciiTheme="minorEastAsia" w:hAnsiTheme="minorEastAsia"/>
          <w:bCs/>
          <w:color w:val="000000" w:themeColor="text1"/>
          <w:sz w:val="24"/>
          <w:szCs w:val="24"/>
          <w:highlight w:val="none"/>
          <w14:textFill>
            <w14:solidFill>
              <w14:schemeClr w14:val="tx1"/>
            </w14:solidFill>
          </w14:textFill>
        </w:rPr>
        <w:t xml:space="preserve">)全面负责本工程的施工。  </w:t>
      </w:r>
    </w:p>
    <w:p w14:paraId="0D2BC4A2">
      <w:pPr>
        <w:spacing w:line="360" w:lineRule="auto"/>
        <w:rPr>
          <w:rFonts w:cs="Arial" w:asciiTheme="minorEastAsia" w:hAnsiTheme="minorEastAsia"/>
          <w:bCs/>
          <w:color w:val="000000" w:themeColor="text1"/>
          <w:sz w:val="24"/>
          <w:szCs w:val="24"/>
          <w:highlight w:val="none"/>
          <w14:textFill>
            <w14:solidFill>
              <w14:schemeClr w14:val="tx1"/>
            </w14:solidFill>
          </w14:textFill>
        </w:rPr>
      </w:pPr>
      <w:r>
        <w:rPr>
          <w:rFonts w:hint="eastAsia" w:cs="Arial" w:asciiTheme="minorEastAsia" w:hAnsiTheme="minorEastAsia"/>
          <w:bCs/>
          <w:color w:val="000000" w:themeColor="text1"/>
          <w:sz w:val="24"/>
          <w:szCs w:val="24"/>
          <w:highlight w:val="none"/>
          <w14:textFill>
            <w14:solidFill>
              <w14:schemeClr w14:val="tx1"/>
            </w14:solidFill>
          </w14:textFill>
        </w:rPr>
        <w:t xml:space="preserve">(六)贵单位所发出的采购文件、成交通知书和本响应文件将构成约束我们双方的合同。      </w:t>
      </w:r>
    </w:p>
    <w:p w14:paraId="190C0CCF">
      <w:pPr>
        <w:spacing w:line="360" w:lineRule="auto"/>
        <w:ind w:firstLine="4200"/>
        <w:rPr>
          <w:rFonts w:cs="Arial" w:asciiTheme="minorEastAsia" w:hAnsiTheme="minorEastAsia"/>
          <w:bCs/>
          <w:color w:val="000000" w:themeColor="text1"/>
          <w:sz w:val="28"/>
          <w:szCs w:val="28"/>
          <w:highlight w:val="none"/>
          <w14:textFill>
            <w14:solidFill>
              <w14:schemeClr w14:val="tx1"/>
            </w14:solidFill>
          </w14:textFill>
        </w:rPr>
      </w:pPr>
    </w:p>
    <w:p w14:paraId="68E306DF">
      <w:pPr>
        <w:spacing w:line="360" w:lineRule="auto"/>
        <w:ind w:firstLine="4200"/>
        <w:rPr>
          <w:rFonts w:cs="Arial" w:asciiTheme="minorEastAsia" w:hAnsiTheme="minorEastAsia"/>
          <w:bCs/>
          <w:color w:val="000000" w:themeColor="text1"/>
          <w:sz w:val="28"/>
          <w:szCs w:val="28"/>
          <w:highlight w:val="none"/>
          <w14:textFill>
            <w14:solidFill>
              <w14:schemeClr w14:val="tx1"/>
            </w14:solidFill>
          </w14:textFill>
        </w:rPr>
      </w:pPr>
    </w:p>
    <w:p w14:paraId="1A5B6ECC">
      <w:pPr>
        <w:spacing w:line="360" w:lineRule="auto"/>
        <w:ind w:firstLine="420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 xml:space="preserve">供应商：(盖公章) </w:t>
      </w:r>
    </w:p>
    <w:p w14:paraId="238E5002">
      <w:pPr>
        <w:spacing w:line="360" w:lineRule="auto"/>
        <w:ind w:firstLine="434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 xml:space="preserve">单位地址： </w:t>
      </w:r>
    </w:p>
    <w:p w14:paraId="3A8DCF5E">
      <w:pPr>
        <w:spacing w:line="360" w:lineRule="auto"/>
        <w:ind w:firstLine="294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 xml:space="preserve">法定代表人或委托代理人(签字或盖章)：  </w:t>
      </w:r>
    </w:p>
    <w:p w14:paraId="10FE773B">
      <w:pPr>
        <w:spacing w:line="360" w:lineRule="auto"/>
        <w:ind w:firstLine="434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 xml:space="preserve">电话：  </w:t>
      </w:r>
    </w:p>
    <w:p w14:paraId="55B920A0">
      <w:pPr>
        <w:spacing w:line="360" w:lineRule="auto"/>
        <w:ind w:firstLine="434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 xml:space="preserve">传真：  </w:t>
      </w:r>
    </w:p>
    <w:p w14:paraId="021F3852">
      <w:pPr>
        <w:spacing w:line="360" w:lineRule="auto"/>
        <w:ind w:firstLine="4340"/>
        <w:rPr>
          <w:rFonts w:cs="Arial" w:asciiTheme="minorEastAsia" w:hAnsiTheme="minorEastAsia"/>
          <w:bCs/>
          <w:color w:val="000000" w:themeColor="text1"/>
          <w:sz w:val="28"/>
          <w:szCs w:val="28"/>
          <w:highlight w:val="none"/>
          <w14:textFill>
            <w14:solidFill>
              <w14:schemeClr w14:val="tx1"/>
            </w14:solidFill>
          </w14:textFill>
        </w:rPr>
      </w:pPr>
      <w:r>
        <w:rPr>
          <w:rFonts w:hint="eastAsia" w:cs="Arial" w:asciiTheme="minorEastAsia" w:hAnsiTheme="minorEastAsia"/>
          <w:bCs/>
          <w:color w:val="000000" w:themeColor="text1"/>
          <w:sz w:val="28"/>
          <w:szCs w:val="28"/>
          <w:highlight w:val="none"/>
          <w14:textFill>
            <w14:solidFill>
              <w14:schemeClr w14:val="tx1"/>
            </w14:solidFill>
          </w14:textFill>
        </w:rPr>
        <w:t>日期：</w:t>
      </w:r>
    </w:p>
    <w:p w14:paraId="68D824B5">
      <w:pPr>
        <w:rPr>
          <w:rFonts w:cs="Times New Roman" w:asciiTheme="minorEastAsia" w:hAnsiTheme="minorEastAsia"/>
          <w:color w:val="000000" w:themeColor="text1"/>
          <w:sz w:val="28"/>
          <w:szCs w:val="28"/>
          <w:highlight w:val="none"/>
          <w14:textFill>
            <w14:solidFill>
              <w14:schemeClr w14:val="tx1"/>
            </w14:solidFill>
          </w14:textFill>
        </w:rPr>
      </w:pPr>
    </w:p>
    <w:p w14:paraId="772BE627">
      <w:pPr>
        <w:rPr>
          <w:rFonts w:cs="Times New Roman" w:asciiTheme="minorEastAsia" w:hAnsiTheme="minorEastAsia"/>
          <w:color w:val="000000" w:themeColor="text1"/>
          <w:sz w:val="28"/>
          <w:szCs w:val="28"/>
          <w:highlight w:val="none"/>
          <w14:textFill>
            <w14:solidFill>
              <w14:schemeClr w14:val="tx1"/>
            </w14:solidFill>
          </w14:textFill>
        </w:rPr>
      </w:pPr>
    </w:p>
    <w:p w14:paraId="128445F2">
      <w:pPr>
        <w:rPr>
          <w:rFonts w:cs="Times New Roman" w:asciiTheme="minorEastAsia" w:hAnsiTheme="minorEastAsia"/>
          <w:color w:val="000000" w:themeColor="text1"/>
          <w:sz w:val="28"/>
          <w:szCs w:val="28"/>
          <w:highlight w:val="none"/>
          <w14:textFill>
            <w14:solidFill>
              <w14:schemeClr w14:val="tx1"/>
            </w14:solidFill>
          </w14:textFill>
        </w:rPr>
      </w:pPr>
    </w:p>
    <w:p w14:paraId="0BEED695">
      <w:pPr>
        <w:spacing w:line="360" w:lineRule="auto"/>
        <w:jc w:val="center"/>
        <w:rPr>
          <w:rFonts w:ascii="Arial" w:hAnsi="Arial" w:eastAsia="宋体" w:cs="Arial"/>
          <w:b/>
          <w:bCs/>
          <w:color w:val="000000" w:themeColor="text1"/>
          <w:sz w:val="30"/>
          <w:szCs w:val="30"/>
          <w:highlight w:val="none"/>
          <w14:textFill>
            <w14:solidFill>
              <w14:schemeClr w14:val="tx1"/>
            </w14:solidFill>
          </w14:textFill>
        </w:rPr>
      </w:pPr>
    </w:p>
    <w:p w14:paraId="718E4CFA">
      <w:pPr>
        <w:spacing w:line="360" w:lineRule="auto"/>
        <w:jc w:val="center"/>
        <w:rPr>
          <w:rFonts w:ascii="Arial" w:hAnsi="Arial" w:eastAsia="宋体" w:cs="Arial"/>
          <w:b/>
          <w:bCs/>
          <w:color w:val="000000" w:themeColor="text1"/>
          <w:sz w:val="30"/>
          <w:szCs w:val="30"/>
          <w:highlight w:val="none"/>
          <w14:textFill>
            <w14:solidFill>
              <w14:schemeClr w14:val="tx1"/>
            </w14:solidFill>
          </w14:textFill>
        </w:rPr>
      </w:pPr>
    </w:p>
    <w:p w14:paraId="21BA419D">
      <w:pPr>
        <w:spacing w:line="360" w:lineRule="auto"/>
        <w:jc w:val="center"/>
        <w:rPr>
          <w:rFonts w:ascii="Arial" w:hAnsi="Arial" w:eastAsia="宋体" w:cs="Arial"/>
          <w:b/>
          <w:bCs/>
          <w:color w:val="000000" w:themeColor="text1"/>
          <w:sz w:val="30"/>
          <w:szCs w:val="30"/>
          <w:highlight w:val="none"/>
          <w14:textFill>
            <w14:solidFill>
              <w14:schemeClr w14:val="tx1"/>
            </w14:solidFill>
          </w14:textFill>
        </w:rPr>
      </w:pPr>
      <w:r>
        <w:rPr>
          <w:rFonts w:hint="eastAsia" w:ascii="Arial" w:hAnsi="Arial" w:eastAsia="宋体" w:cs="Arial"/>
          <w:b/>
          <w:bCs/>
          <w:color w:val="000000" w:themeColor="text1"/>
          <w:sz w:val="30"/>
          <w:szCs w:val="30"/>
          <w:highlight w:val="none"/>
          <w14:textFill>
            <w14:solidFill>
              <w14:schemeClr w14:val="tx1"/>
            </w14:solidFill>
          </w14:textFill>
        </w:rPr>
        <w:t>2.</w:t>
      </w:r>
      <w:r>
        <w:rPr>
          <w:rFonts w:ascii="Arial" w:hAnsi="Arial" w:eastAsia="宋体" w:cs="Arial"/>
          <w:b/>
          <w:bCs/>
          <w:color w:val="000000" w:themeColor="text1"/>
          <w:sz w:val="30"/>
          <w:szCs w:val="30"/>
          <w:highlight w:val="none"/>
          <w14:textFill>
            <w14:solidFill>
              <w14:schemeClr w14:val="tx1"/>
            </w14:solidFill>
          </w14:textFill>
        </w:rPr>
        <w:t>开标一览表（</w:t>
      </w:r>
      <w:r>
        <w:rPr>
          <w:rFonts w:hint="eastAsia" w:cs="Times New Roman" w:asciiTheme="majorEastAsia" w:hAnsiTheme="majorEastAsia" w:eastAsiaTheme="majorEastAsia"/>
          <w:b/>
          <w:color w:val="000000" w:themeColor="text1"/>
          <w:sz w:val="28"/>
          <w:szCs w:val="28"/>
          <w:highlight w:val="none"/>
          <w14:textFill>
            <w14:solidFill>
              <w14:schemeClr w14:val="tx1"/>
            </w14:solidFill>
          </w14:textFill>
        </w:rPr>
        <w:t>首次磋商响应报价表</w:t>
      </w:r>
      <w:r>
        <w:rPr>
          <w:rFonts w:ascii="Arial" w:hAnsi="Arial" w:eastAsia="宋体" w:cs="Arial"/>
          <w:b/>
          <w:bCs/>
          <w:color w:val="000000" w:themeColor="text1"/>
          <w:sz w:val="30"/>
          <w:szCs w:val="30"/>
          <w:highlight w:val="none"/>
          <w14:textFill>
            <w14:solidFill>
              <w14:schemeClr w14:val="tx1"/>
            </w14:solidFill>
          </w14:textFill>
        </w:rPr>
        <w:t>）</w:t>
      </w:r>
    </w:p>
    <w:p w14:paraId="65908946">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p>
    <w:p w14:paraId="2B82F207">
      <w:pPr>
        <w:spacing w:line="360" w:lineRule="auto"/>
        <w:ind w:firstLine="361"/>
        <w:jc w:val="left"/>
        <w:rPr>
          <w:rFonts w:ascii="Arial" w:hAnsi="Arial" w:eastAsia="宋体" w:cs="Arial"/>
          <w:b/>
          <w:bCs/>
          <w:color w:val="000000" w:themeColor="text1"/>
          <w:sz w:val="24"/>
          <w:szCs w:val="24"/>
          <w:highlight w:val="none"/>
          <w:u w:val="single"/>
          <w14:textFill>
            <w14:solidFill>
              <w14:schemeClr w14:val="tx1"/>
            </w14:solidFill>
          </w14:textFill>
        </w:rPr>
      </w:pPr>
      <w:r>
        <w:rPr>
          <w:rFonts w:hint="eastAsia" w:ascii="Arial" w:hAnsi="Arial" w:eastAsia="宋体" w:cs="Arial"/>
          <w:b/>
          <w:bCs/>
          <w:color w:val="000000" w:themeColor="text1"/>
          <w:sz w:val="24"/>
          <w:szCs w:val="24"/>
          <w:highlight w:val="none"/>
          <w14:textFill>
            <w14:solidFill>
              <w14:schemeClr w14:val="tx1"/>
            </w14:solidFill>
          </w14:textFill>
        </w:rPr>
        <w:t>分包（采购包）</w:t>
      </w:r>
      <w:r>
        <w:rPr>
          <w:rFonts w:ascii="Arial" w:hAnsi="Arial" w:eastAsia="宋体" w:cs="Arial"/>
          <w:b/>
          <w:bCs/>
          <w:color w:val="000000" w:themeColor="text1"/>
          <w:sz w:val="24"/>
          <w:szCs w:val="24"/>
          <w:highlight w:val="none"/>
          <w14:textFill>
            <w14:solidFill>
              <w14:schemeClr w14:val="tx1"/>
            </w14:solidFill>
          </w14:textFill>
        </w:rPr>
        <w:t>名称</w:t>
      </w:r>
      <w:r>
        <w:rPr>
          <w:rFonts w:hint="eastAsia" w:ascii="Arial" w:hAnsi="Arial" w:eastAsia="宋体" w:cs="Arial"/>
          <w:b/>
          <w:bCs/>
          <w:color w:val="000000" w:themeColor="text1"/>
          <w:sz w:val="24"/>
          <w:szCs w:val="24"/>
          <w:highlight w:val="none"/>
          <w14:textFill>
            <w14:solidFill>
              <w14:schemeClr w14:val="tx1"/>
            </w14:solidFill>
          </w14:textFill>
        </w:rPr>
        <w:t>：</w:t>
      </w:r>
      <w:r>
        <w:rPr>
          <w:rFonts w:hint="eastAsia" w:ascii="Arial" w:hAnsi="Arial" w:eastAsia="宋体" w:cs="Arial"/>
          <w:b/>
          <w:bCs/>
          <w:color w:val="000000" w:themeColor="text1"/>
          <w:sz w:val="24"/>
          <w:szCs w:val="24"/>
          <w:highlight w:val="none"/>
          <w:u w:val="single"/>
          <w14:textFill>
            <w14:solidFill>
              <w14:schemeClr w14:val="tx1"/>
            </w14:solidFill>
          </w14:textFill>
        </w:rPr>
        <w:t xml:space="preserve">                 </w:t>
      </w:r>
    </w:p>
    <w:tbl>
      <w:tblPr>
        <w:tblStyle w:val="51"/>
        <w:tblpPr w:leftFromText="180" w:rightFromText="180" w:vertAnchor="text" w:horzAnchor="margin" w:tblpXSpec="center" w:tblpY="2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6754"/>
      </w:tblGrid>
      <w:tr w14:paraId="3A79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6" w:hRule="atLeast"/>
        </w:trPr>
        <w:tc>
          <w:tcPr>
            <w:tcW w:w="2339" w:type="dxa"/>
            <w:vAlign w:val="center"/>
          </w:tcPr>
          <w:p w14:paraId="2A5C5C8E">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投标总报价</w:t>
            </w:r>
          </w:p>
          <w:p w14:paraId="3F6B72F7">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（人民币</w:t>
            </w:r>
            <w:r>
              <w:rPr>
                <w:rFonts w:hint="eastAsia" w:ascii="Arial" w:hAnsi="Arial" w:eastAsia="宋体" w:cs="Arial"/>
                <w:bCs/>
                <w:color w:val="000000" w:themeColor="text1"/>
                <w:sz w:val="24"/>
                <w:szCs w:val="24"/>
                <w:highlight w:val="none"/>
                <w14:textFill>
                  <w14:solidFill>
                    <w14:schemeClr w14:val="tx1"/>
                  </w14:solidFill>
                </w14:textFill>
              </w:rPr>
              <w:t>/元</w:t>
            </w:r>
            <w:r>
              <w:rPr>
                <w:rFonts w:ascii="Arial" w:hAnsi="Arial" w:eastAsia="宋体" w:cs="Arial"/>
                <w:bCs/>
                <w:color w:val="000000" w:themeColor="text1"/>
                <w:sz w:val="24"/>
                <w:szCs w:val="24"/>
                <w:highlight w:val="none"/>
                <w14:textFill>
                  <w14:solidFill>
                    <w14:schemeClr w14:val="tx1"/>
                  </w14:solidFill>
                </w14:textFill>
              </w:rPr>
              <w:t>）</w:t>
            </w:r>
          </w:p>
        </w:tc>
        <w:tc>
          <w:tcPr>
            <w:tcW w:w="6754" w:type="dxa"/>
            <w:vAlign w:val="center"/>
          </w:tcPr>
          <w:p w14:paraId="6B9DE07B">
            <w:pPr>
              <w:spacing w:line="520" w:lineRule="exact"/>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大写：</w:t>
            </w:r>
          </w:p>
          <w:p w14:paraId="12568EC9">
            <w:pPr>
              <w:spacing w:line="520" w:lineRule="exact"/>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小写：</w:t>
            </w:r>
          </w:p>
        </w:tc>
      </w:tr>
      <w:tr w14:paraId="3A22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vAlign w:val="center"/>
          </w:tcPr>
          <w:p w14:paraId="74372A27">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工期（日历天）</w:t>
            </w:r>
          </w:p>
        </w:tc>
        <w:tc>
          <w:tcPr>
            <w:tcW w:w="6754" w:type="dxa"/>
            <w:vAlign w:val="center"/>
          </w:tcPr>
          <w:p w14:paraId="3D324978">
            <w:pPr>
              <w:spacing w:line="520" w:lineRule="exact"/>
              <w:ind w:firstLine="480"/>
              <w:rPr>
                <w:rFonts w:ascii="Arial" w:hAnsi="Arial" w:eastAsia="宋体" w:cs="Arial"/>
                <w:bCs/>
                <w:color w:val="000000" w:themeColor="text1"/>
                <w:sz w:val="24"/>
                <w:szCs w:val="24"/>
                <w:highlight w:val="none"/>
                <w:u w:val="single"/>
                <w14:textFill>
                  <w14:solidFill>
                    <w14:schemeClr w14:val="tx1"/>
                  </w14:solidFill>
                </w14:textFill>
              </w:rPr>
            </w:pPr>
          </w:p>
        </w:tc>
      </w:tr>
      <w:tr w14:paraId="18A4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vAlign w:val="center"/>
          </w:tcPr>
          <w:p w14:paraId="643FDA3D">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项目负责人</w:t>
            </w:r>
          </w:p>
          <w:p w14:paraId="56CE4834">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姓名</w:t>
            </w:r>
          </w:p>
        </w:tc>
        <w:tc>
          <w:tcPr>
            <w:tcW w:w="6754" w:type="dxa"/>
            <w:vAlign w:val="center"/>
          </w:tcPr>
          <w:p w14:paraId="1516791C">
            <w:pPr>
              <w:spacing w:line="520" w:lineRule="exact"/>
              <w:ind w:firstLine="480"/>
              <w:rPr>
                <w:rFonts w:ascii="Arial" w:hAnsi="Arial" w:eastAsia="宋体" w:cs="Arial"/>
                <w:bCs/>
                <w:color w:val="000000" w:themeColor="text1"/>
                <w:sz w:val="24"/>
                <w:szCs w:val="24"/>
                <w:highlight w:val="none"/>
                <w14:textFill>
                  <w14:solidFill>
                    <w14:schemeClr w14:val="tx1"/>
                  </w14:solidFill>
                </w14:textFill>
              </w:rPr>
            </w:pPr>
          </w:p>
        </w:tc>
      </w:tr>
      <w:tr w14:paraId="5C45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vAlign w:val="center"/>
          </w:tcPr>
          <w:p w14:paraId="50F98BC6">
            <w:pPr>
              <w:spacing w:line="520" w:lineRule="exact"/>
              <w:ind w:firstLine="480"/>
              <w:jc w:val="center"/>
              <w:rPr>
                <w:rFonts w:ascii="Arial" w:hAnsi="Arial" w:eastAsia="宋体" w:cs="Arial"/>
                <w:bCs/>
                <w:color w:val="000000" w:themeColor="text1"/>
                <w:sz w:val="24"/>
                <w:szCs w:val="24"/>
                <w:highlight w:val="none"/>
                <w14:textFill>
                  <w14:solidFill>
                    <w14:schemeClr w14:val="tx1"/>
                  </w14:solidFill>
                </w14:textFill>
              </w:rPr>
            </w:pPr>
            <w:r>
              <w:rPr>
                <w:rFonts w:hint="eastAsia" w:ascii="Arial" w:hAnsi="Arial" w:eastAsia="宋体" w:cs="Arial"/>
                <w:bCs/>
                <w:color w:val="000000" w:themeColor="text1"/>
                <w:sz w:val="24"/>
                <w:szCs w:val="24"/>
                <w:highlight w:val="none"/>
                <w14:textFill>
                  <w14:solidFill>
                    <w14:schemeClr w14:val="tx1"/>
                  </w14:solidFill>
                </w14:textFill>
              </w:rPr>
              <w:t>质量标准</w:t>
            </w:r>
          </w:p>
        </w:tc>
        <w:tc>
          <w:tcPr>
            <w:tcW w:w="6754" w:type="dxa"/>
            <w:vAlign w:val="center"/>
          </w:tcPr>
          <w:p w14:paraId="4C197860">
            <w:pPr>
              <w:spacing w:line="520" w:lineRule="exact"/>
              <w:ind w:firstLine="480"/>
              <w:rPr>
                <w:rFonts w:ascii="Arial" w:hAnsi="Arial" w:eastAsia="宋体" w:cs="Arial"/>
                <w:bCs/>
                <w:color w:val="000000" w:themeColor="text1"/>
                <w:sz w:val="24"/>
                <w:szCs w:val="24"/>
                <w:highlight w:val="none"/>
                <w14:textFill>
                  <w14:solidFill>
                    <w14:schemeClr w14:val="tx1"/>
                  </w14:solidFill>
                </w14:textFill>
              </w:rPr>
            </w:pPr>
          </w:p>
        </w:tc>
      </w:tr>
    </w:tbl>
    <w:p w14:paraId="067AC699">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p>
    <w:p w14:paraId="25543B24">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p>
    <w:p w14:paraId="14EC8F05">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p>
    <w:p w14:paraId="418C31AF">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投标人（</w:t>
      </w:r>
      <w:r>
        <w:rPr>
          <w:rFonts w:ascii="Arial" w:hAnsi="Arial" w:eastAsia="宋体" w:cs="Arial"/>
          <w:b/>
          <w:bCs/>
          <w:color w:val="000000" w:themeColor="text1"/>
          <w:sz w:val="24"/>
          <w:szCs w:val="24"/>
          <w:highlight w:val="none"/>
          <w14:textFill>
            <w14:solidFill>
              <w14:schemeClr w14:val="tx1"/>
            </w14:solidFill>
          </w14:textFill>
        </w:rPr>
        <w:t>公章</w:t>
      </w:r>
      <w:r>
        <w:rPr>
          <w:rFonts w:ascii="Arial" w:hAnsi="Arial" w:eastAsia="宋体" w:cs="Arial"/>
          <w:bCs/>
          <w:color w:val="000000" w:themeColor="text1"/>
          <w:sz w:val="24"/>
          <w:szCs w:val="24"/>
          <w:highlight w:val="none"/>
          <w14:textFill>
            <w14:solidFill>
              <w14:schemeClr w14:val="tx1"/>
            </w14:solidFill>
          </w14:textFill>
        </w:rPr>
        <w:t>）：</w:t>
      </w:r>
    </w:p>
    <w:p w14:paraId="3336E626">
      <w:pPr>
        <w:spacing w:line="360" w:lineRule="auto"/>
        <w:ind w:firstLine="480"/>
        <w:jc w:val="left"/>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法定代表人或授权委托人（</w:t>
      </w:r>
      <w:r>
        <w:rPr>
          <w:rFonts w:ascii="Arial" w:hAnsi="Arial" w:eastAsia="宋体" w:cs="Arial"/>
          <w:b/>
          <w:bCs/>
          <w:color w:val="000000" w:themeColor="text1"/>
          <w:sz w:val="24"/>
          <w:szCs w:val="24"/>
          <w:highlight w:val="none"/>
          <w14:textFill>
            <w14:solidFill>
              <w14:schemeClr w14:val="tx1"/>
            </w14:solidFill>
          </w14:textFill>
        </w:rPr>
        <w:t>签字或盖章</w:t>
      </w:r>
      <w:r>
        <w:rPr>
          <w:rFonts w:ascii="Arial" w:hAnsi="Arial" w:eastAsia="宋体" w:cs="Arial"/>
          <w:bCs/>
          <w:color w:val="000000" w:themeColor="text1"/>
          <w:sz w:val="24"/>
          <w:szCs w:val="24"/>
          <w:highlight w:val="none"/>
          <w14:textFill>
            <w14:solidFill>
              <w14:schemeClr w14:val="tx1"/>
            </w14:solidFill>
          </w14:textFill>
        </w:rPr>
        <w:t>）：</w:t>
      </w:r>
    </w:p>
    <w:p w14:paraId="39FD5CF1">
      <w:pPr>
        <w:spacing w:line="360" w:lineRule="auto"/>
        <w:ind w:firstLine="480"/>
        <w:rPr>
          <w:rFonts w:ascii="Arial" w:hAnsi="Arial" w:eastAsia="宋体" w:cs="Arial"/>
          <w:bCs/>
          <w:color w:val="000000" w:themeColor="text1"/>
          <w:sz w:val="24"/>
          <w:szCs w:val="24"/>
          <w:highlight w:val="none"/>
          <w14:textFill>
            <w14:solidFill>
              <w14:schemeClr w14:val="tx1"/>
            </w14:solidFill>
          </w14:textFill>
        </w:rPr>
      </w:pPr>
      <w:r>
        <w:rPr>
          <w:rFonts w:ascii="Arial" w:hAnsi="Arial" w:eastAsia="宋体" w:cs="Arial"/>
          <w:bCs/>
          <w:color w:val="000000" w:themeColor="text1"/>
          <w:sz w:val="24"/>
          <w:szCs w:val="24"/>
          <w:highlight w:val="none"/>
          <w14:textFill>
            <w14:solidFill>
              <w14:schemeClr w14:val="tx1"/>
            </w14:solidFill>
          </w14:textFill>
        </w:rPr>
        <w:t>日期：年月日</w:t>
      </w:r>
    </w:p>
    <w:p w14:paraId="253AE3AB">
      <w:pPr>
        <w:spacing w:line="360" w:lineRule="auto"/>
        <w:ind w:firstLine="480"/>
        <w:rPr>
          <w:rFonts w:ascii="Arial" w:hAnsi="Arial" w:eastAsia="宋体" w:cs="Arial"/>
          <w:bCs/>
          <w:color w:val="000000" w:themeColor="text1"/>
          <w:sz w:val="24"/>
          <w:szCs w:val="24"/>
          <w:highlight w:val="none"/>
          <w14:textFill>
            <w14:solidFill>
              <w14:schemeClr w14:val="tx1"/>
            </w14:solidFill>
          </w14:textFill>
        </w:rPr>
      </w:pPr>
    </w:p>
    <w:p w14:paraId="52187D93">
      <w:pPr>
        <w:spacing w:after="60" w:line="360" w:lineRule="atLeast"/>
        <w:ind w:left="63" w:right="63" w:firstLine="220"/>
        <w:rPr>
          <w:rFonts w:ascii="宋体" w:hAnsi="宋体" w:eastAsia="宋体" w:cs="Times New Roman"/>
          <w:b/>
          <w:bCs/>
          <w:color w:val="000000" w:themeColor="text1"/>
          <w:sz w:val="22"/>
          <w:highlight w:val="none"/>
          <w14:textFill>
            <w14:solidFill>
              <w14:schemeClr w14:val="tx1"/>
            </w14:solidFill>
          </w14:textFill>
        </w:rPr>
      </w:pPr>
      <w:r>
        <w:rPr>
          <w:rFonts w:ascii="宋体" w:hAnsi="宋体" w:eastAsia="宋体" w:cs="Times New Roman"/>
          <w:b/>
          <w:bCs/>
          <w:color w:val="000000" w:themeColor="text1"/>
          <w:sz w:val="22"/>
          <w:highlight w:val="none"/>
          <w14:textFill>
            <w14:solidFill>
              <w14:schemeClr w14:val="tx1"/>
            </w14:solidFill>
          </w14:textFill>
        </w:rPr>
        <w:t>注</w:t>
      </w:r>
      <w:r>
        <w:rPr>
          <w:rFonts w:hint="eastAsia" w:ascii="宋体" w:hAnsi="宋体" w:eastAsia="宋体" w:cs="Times New Roman"/>
          <w:b/>
          <w:bCs/>
          <w:color w:val="000000" w:themeColor="text1"/>
          <w:sz w:val="22"/>
          <w:highlight w:val="none"/>
          <w14:textFill>
            <w14:solidFill>
              <w14:schemeClr w14:val="tx1"/>
            </w14:solidFill>
          </w14:textFill>
        </w:rPr>
        <w:t>：</w:t>
      </w:r>
      <w:r>
        <w:rPr>
          <w:rFonts w:ascii="宋体" w:hAnsi="宋体" w:eastAsia="宋体" w:cs="Times New Roman"/>
          <w:b/>
          <w:bCs/>
          <w:color w:val="000000" w:themeColor="text1"/>
          <w:sz w:val="22"/>
          <w:highlight w:val="none"/>
          <w14:textFill>
            <w14:solidFill>
              <w14:schemeClr w14:val="tx1"/>
            </w14:solidFill>
          </w14:textFill>
        </w:rPr>
        <w:t>该表报价非本次</w:t>
      </w:r>
      <w:r>
        <w:rPr>
          <w:rFonts w:hint="eastAsia" w:ascii="宋体" w:hAnsi="宋体" w:eastAsia="宋体" w:cs="Times New Roman"/>
          <w:b/>
          <w:bCs/>
          <w:color w:val="000000" w:themeColor="text1"/>
          <w:sz w:val="22"/>
          <w:highlight w:val="none"/>
          <w14:textFill>
            <w14:solidFill>
              <w14:schemeClr w14:val="tx1"/>
            </w14:solidFill>
          </w14:textFill>
        </w:rPr>
        <w:t>磋商</w:t>
      </w:r>
      <w:r>
        <w:rPr>
          <w:rFonts w:ascii="宋体" w:hAnsi="宋体" w:eastAsia="宋体" w:cs="Times New Roman"/>
          <w:b/>
          <w:bCs/>
          <w:color w:val="000000" w:themeColor="text1"/>
          <w:sz w:val="22"/>
          <w:highlight w:val="none"/>
          <w14:textFill>
            <w14:solidFill>
              <w14:schemeClr w14:val="tx1"/>
            </w14:solidFill>
          </w14:textFill>
        </w:rPr>
        <w:t>的最后报价</w:t>
      </w:r>
      <w:r>
        <w:rPr>
          <w:rFonts w:hint="eastAsia" w:ascii="宋体" w:hAnsi="宋体" w:eastAsia="宋体" w:cs="Times New Roman"/>
          <w:b/>
          <w:bCs/>
          <w:color w:val="000000" w:themeColor="text1"/>
          <w:sz w:val="22"/>
          <w:highlight w:val="none"/>
          <w14:textFill>
            <w14:solidFill>
              <w14:schemeClr w14:val="tx1"/>
            </w14:solidFill>
          </w14:textFill>
        </w:rPr>
        <w:t>，</w:t>
      </w:r>
      <w:r>
        <w:rPr>
          <w:rFonts w:ascii="宋体" w:hAnsi="宋体" w:eastAsia="宋体" w:cs="Times New Roman"/>
          <w:b/>
          <w:bCs/>
          <w:color w:val="000000" w:themeColor="text1"/>
          <w:sz w:val="22"/>
          <w:highlight w:val="none"/>
          <w14:textFill>
            <w14:solidFill>
              <w14:schemeClr w14:val="tx1"/>
            </w14:solidFill>
          </w14:textFill>
        </w:rPr>
        <w:t>不得高于最高投标限价。</w:t>
      </w:r>
    </w:p>
    <w:p w14:paraId="69AC2865">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69AF4789">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702330EB">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66B7AF52">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05182E42">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2FFD17C2">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4144BA98">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396C9D85">
      <w:pPr>
        <w:spacing w:line="300" w:lineRule="exact"/>
        <w:ind w:firstLine="2080"/>
        <w:rPr>
          <w:rFonts w:ascii="宋体" w:hAnsi="宋体" w:eastAsia="宋体" w:cs="Times New Roman"/>
          <w:color w:val="000000" w:themeColor="text1"/>
          <w:sz w:val="32"/>
          <w:szCs w:val="32"/>
          <w:highlight w:val="none"/>
          <w14:textFill>
            <w14:solidFill>
              <w14:schemeClr w14:val="tx1"/>
            </w14:solidFill>
          </w14:textFill>
        </w:rPr>
      </w:pPr>
    </w:p>
    <w:p w14:paraId="7D43D6B2">
      <w:pPr>
        <w:rPr>
          <w:rFonts w:ascii="Times New Roman" w:hAnsi="Times New Roman" w:eastAsia="宋体" w:cs="Times New Roman"/>
          <w:b/>
          <w:bCs/>
          <w:color w:val="000000" w:themeColor="text1"/>
          <w:sz w:val="30"/>
          <w:szCs w:val="30"/>
          <w:highlight w:val="none"/>
          <w14:textFill>
            <w14:solidFill>
              <w14:schemeClr w14:val="tx1"/>
            </w14:solidFill>
          </w14:textFill>
        </w:rPr>
      </w:pPr>
      <w:r>
        <w:rPr>
          <w:rFonts w:hint="eastAsia" w:ascii="Times New Roman" w:hAnsi="Times New Roman" w:eastAsia="宋体" w:cs="Times New Roman"/>
          <w:b/>
          <w:bCs/>
          <w:color w:val="000000" w:themeColor="text1"/>
          <w:sz w:val="30"/>
          <w:szCs w:val="30"/>
          <w:highlight w:val="none"/>
          <w14:textFill>
            <w14:solidFill>
              <w14:schemeClr w14:val="tx1"/>
            </w14:solidFill>
          </w14:textFill>
        </w:rPr>
        <w:br w:type="page" w:clear="all"/>
      </w:r>
    </w:p>
    <w:p w14:paraId="377AD774">
      <w:pPr>
        <w:spacing w:line="360" w:lineRule="auto"/>
        <w:jc w:val="center"/>
        <w:rPr>
          <w:rFonts w:ascii="Times New Roman" w:hAnsi="Times New Roman" w:eastAsia="宋体" w:cs="Times New Roman"/>
          <w:b/>
          <w:bCs/>
          <w:color w:val="000000" w:themeColor="text1"/>
          <w:sz w:val="30"/>
          <w:szCs w:val="30"/>
          <w:highlight w:val="none"/>
          <w14:textFill>
            <w14:solidFill>
              <w14:schemeClr w14:val="tx1"/>
            </w14:solidFill>
          </w14:textFill>
        </w:rPr>
      </w:pPr>
      <w:r>
        <w:rPr>
          <w:rFonts w:hint="eastAsia" w:ascii="Times New Roman" w:hAnsi="Times New Roman" w:eastAsia="宋体" w:cs="Times New Roman"/>
          <w:b/>
          <w:bCs/>
          <w:color w:val="000000" w:themeColor="text1"/>
          <w:sz w:val="30"/>
          <w:szCs w:val="30"/>
          <w:highlight w:val="none"/>
          <w14:textFill>
            <w14:solidFill>
              <w14:schemeClr w14:val="tx1"/>
            </w14:solidFill>
          </w14:textFill>
        </w:rPr>
        <w:t>3.1中小企业声明函（工程）（格式）</w:t>
      </w:r>
    </w:p>
    <w:p w14:paraId="05FA80F5">
      <w:pPr>
        <w:spacing w:before="100" w:beforeAutospacing="1" w:after="100" w:afterAutospacing="1" w:line="435"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9"/>
          <w:szCs w:val="29"/>
          <w:highlight w:val="none"/>
          <w14:textFill>
            <w14:solidFill>
              <w14:schemeClr w14:val="tx1"/>
            </w14:solidFill>
          </w14:textFill>
        </w:rPr>
        <w:t>中小企业声明函</w:t>
      </w:r>
    </w:p>
    <w:p w14:paraId="77B72828">
      <w:pPr>
        <w:spacing w:before="100" w:beforeAutospacing="1" w:after="100" w:afterAutospacing="1" w:line="435" w:lineRule="exact"/>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（采购单位名称）</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采购活动，工程全部由符合政策要求的中小企业承建。相关企业（含联合体中的中小企业、签订分包意向协议的中小企业）的具体情况如下：</w:t>
      </w:r>
    </w:p>
    <w:p w14:paraId="60FA38AA">
      <w:pPr>
        <w:spacing w:before="100" w:beforeAutospacing="1" w:after="100" w:afterAutospacing="1" w:line="435" w:lineRule="exact"/>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（标的名称）</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7C0D8F49">
      <w:pPr>
        <w:spacing w:before="100" w:beforeAutospacing="1" w:after="100" w:afterAutospacing="1" w:line="435" w:lineRule="exact"/>
        <w:ind w:firstLine="1262"/>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1B91E4B">
      <w:pPr>
        <w:spacing w:before="100" w:beforeAutospacing="1" w:after="100" w:afterAutospacing="1" w:line="435" w:lineRule="exact"/>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0CC5CBB0">
      <w:pPr>
        <w:spacing w:before="100" w:beforeAutospacing="1" w:after="100" w:afterAutospacing="1" w:line="435" w:lineRule="exact"/>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661D4978">
      <w:pPr>
        <w:spacing w:before="100" w:beforeAutospacing="1" w:after="100" w:afterAutospacing="1" w:line="435" w:lineRule="exact"/>
        <w:ind w:firstLine="480"/>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09F6334C">
      <w:pPr>
        <w:spacing w:before="100" w:beforeAutospacing="1" w:after="100" w:afterAutospacing="1" w:line="435" w:lineRule="exact"/>
        <w:ind w:firstLine="5301"/>
        <w:jc w:val="lef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企业名称（盖章）：</w:t>
      </w:r>
    </w:p>
    <w:p w14:paraId="7CC4BDAF">
      <w:pPr>
        <w:spacing w:before="100" w:beforeAutospacing="1" w:after="100" w:afterAutospacing="1" w:line="435" w:lineRule="exact"/>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p>
    <w:p w14:paraId="52902218">
      <w:pPr>
        <w:spacing w:before="100" w:beforeAutospacing="1" w:after="100" w:afterAutospacing="1" w:line="435" w:lineRule="exact"/>
        <w:jc w:val="left"/>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r>
        <w:rPr>
          <w:rFonts w:hint="eastAsia" w:ascii="宋体" w:hAnsi="宋体" w:eastAsia="宋体" w:cs="宋体"/>
          <w:color w:val="000000" w:themeColor="text1"/>
          <w:sz w:val="18"/>
          <w:szCs w:val="18"/>
          <w:highlight w:val="none"/>
          <w14:textFill>
            <w14:solidFill>
              <w14:schemeClr w14:val="tx1"/>
            </w14:solidFill>
          </w14:textFill>
        </w:rPr>
        <w:t>说明：1.从业人员、营业收入、资产总额填报上一年度数据，无上一年度数据的新成立企业可不填报。</w:t>
      </w:r>
    </w:p>
    <w:p w14:paraId="53741F13">
      <w:pPr>
        <w:spacing w:before="100" w:beforeAutospacing="1" w:after="100" w:afterAutospacing="1" w:line="435" w:lineRule="exact"/>
        <w:ind w:firstLine="630"/>
        <w:jc w:val="left"/>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14:textFill>
            <w14:solidFill>
              <w14:schemeClr w14:val="tx1"/>
            </w14:solidFill>
          </w14:textFill>
        </w:rPr>
        <w:t>2、请供应商如实填写，所填内容将作为评审的依据。如填写不完整，将不享受扶持政策。</w:t>
      </w:r>
    </w:p>
    <w:p w14:paraId="5F21BEE9">
      <w:pPr>
        <w:spacing w:before="100" w:beforeAutospacing="1" w:after="100" w:afterAutospacing="1" w:line="300" w:lineRule="exact"/>
        <w:ind w:firstLine="540"/>
        <w:jc w:val="left"/>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3、成交供应商（中标单位）的《中小企业声明函》随成交（中标）结果公开。   </w:t>
      </w:r>
    </w:p>
    <w:p w14:paraId="69A38990">
      <w:pPr>
        <w:spacing w:before="100" w:beforeAutospacing="1" w:after="100" w:afterAutospacing="1" w:line="435" w:lineRule="exact"/>
        <w:jc w:val="left"/>
        <w:rPr>
          <w:rFonts w:ascii="宋体" w:hAnsi="宋体" w:eastAsia="宋体" w:cs="Times New Roman"/>
          <w:b/>
          <w:color w:val="000000" w:themeColor="text1"/>
          <w:sz w:val="32"/>
          <w:szCs w:val="32"/>
          <w:highlight w:val="none"/>
          <w14:textFill>
            <w14:solidFill>
              <w14:schemeClr w14:val="tx1"/>
            </w14:solidFill>
          </w14:textFill>
        </w:rPr>
      </w:pPr>
    </w:p>
    <w:p w14:paraId="3A8EBDF5">
      <w:pPr>
        <w:rPr>
          <w:rFonts w:ascii="黑体" w:hAnsi="宋体" w:eastAsia="黑体" w:cs="黑体"/>
          <w:color w:val="000000" w:themeColor="text1"/>
          <w:sz w:val="36"/>
          <w:szCs w:val="36"/>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br w:type="page" w:clear="all"/>
      </w:r>
    </w:p>
    <w:p w14:paraId="0BD30CB4">
      <w:pPr>
        <w:spacing w:line="360" w:lineRule="auto"/>
        <w:ind w:firstLine="1440"/>
        <w:jc w:val="left"/>
        <w:rPr>
          <w:rFonts w:ascii="Calibri" w:hAnsi="Calibri" w:eastAsia="宋体" w:cs="Times New Roman"/>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3.2残疾人福利性单位声明函</w:t>
      </w:r>
      <w:r>
        <w:rPr>
          <w:rFonts w:hint="eastAsia" w:ascii="黑体" w:hAnsi="宋体" w:eastAsia="黑体" w:cs="黑体"/>
          <w:color w:val="000000" w:themeColor="text1"/>
          <w:sz w:val="36"/>
          <w:szCs w:val="36"/>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本单位郑重声明，根据《财政部</w:t>
      </w:r>
      <w:r>
        <w:rPr>
          <w:rFonts w:ascii="Calibri" w:hAnsi="Calibri" w:eastAsia="宋体" w:cs="Calibri"/>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民政部</w:t>
      </w:r>
      <w:r>
        <w:rPr>
          <w:rFonts w:ascii="Calibri" w:hAnsi="Calibri" w:eastAsia="宋体" w:cs="Calibri"/>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中国残疾人联合会关于促进残疾人就业政府采购政策的通知》（财库〔</w:t>
      </w:r>
      <w:r>
        <w:rPr>
          <w:rFonts w:ascii="Calibri" w:hAnsi="Calibri" w:eastAsia="宋体" w:cs="Calibri"/>
          <w:color w:val="000000" w:themeColor="text1"/>
          <w:sz w:val="24"/>
          <w:szCs w:val="24"/>
          <w:highlight w:val="none"/>
          <w14:textFill>
            <w14:solidFill>
              <w14:schemeClr w14:val="tx1"/>
            </w14:solidFill>
          </w14:textFill>
        </w:rPr>
        <w:t>2017</w:t>
      </w:r>
      <w:r>
        <w:rPr>
          <w:rFonts w:hint="eastAsia" w:ascii="宋体" w:hAnsi="宋体" w:eastAsia="宋体" w:cs="宋体"/>
          <w:color w:val="000000" w:themeColor="text1"/>
          <w:sz w:val="24"/>
          <w:szCs w:val="24"/>
          <w:highlight w:val="none"/>
          <w14:textFill>
            <w14:solidFill>
              <w14:schemeClr w14:val="tx1"/>
            </w14:solidFill>
          </w14:textFill>
        </w:rPr>
        <w:t>〕</w:t>
      </w:r>
      <w:r>
        <w:rPr>
          <w:rFonts w:ascii="Calibri" w:hAnsi="Calibri" w:eastAsia="宋体" w:cs="Calibri"/>
          <w:color w:val="000000" w:themeColor="text1"/>
          <w:sz w:val="24"/>
          <w:szCs w:val="24"/>
          <w:highlight w:val="none"/>
          <w14:textFill>
            <w14:solidFill>
              <w14:schemeClr w14:val="tx1"/>
            </w14:solidFill>
          </w14:textFill>
        </w:rPr>
        <w:t>141</w:t>
      </w:r>
      <w:r>
        <w:rPr>
          <w:rFonts w:hint="eastAsia" w:ascii="宋体" w:hAnsi="宋体" w:eastAsia="宋体" w:cs="宋体"/>
          <w:color w:val="000000" w:themeColor="text1"/>
          <w:sz w:val="24"/>
          <w:szCs w:val="24"/>
          <w:highlight w:val="none"/>
          <w14:textFill>
            <w14:solidFill>
              <w14:schemeClr w14:val="tx1"/>
            </w14:solidFill>
          </w14:textFill>
        </w:rPr>
        <w:t>号）的规定，本单位为符合条件的残疾人福利性单位，且本单位参加</w:t>
      </w:r>
      <w:r>
        <w:rPr>
          <w:rFonts w:hint="eastAsia" w:ascii="Calibri" w:hAnsi="Calibri" w:eastAsia="宋体" w:cs="Calibri"/>
          <w:color w:val="000000" w:themeColor="text1"/>
          <w:sz w:val="24"/>
          <w:szCs w:val="24"/>
          <w:highlight w:val="none"/>
          <w:u w:val="single"/>
          <w14:textFill>
            <w14:solidFill>
              <w14:schemeClr w14:val="tx1"/>
            </w14:solidFill>
          </w14:textFill>
        </w:rPr>
        <w:t xml:space="preserve"> （采购单位名称）   </w:t>
      </w:r>
      <w:r>
        <w:rPr>
          <w:rFonts w:hint="eastAsia" w:ascii="宋体" w:hAnsi="宋体" w:eastAsia="宋体" w:cs="宋体"/>
          <w:color w:val="000000" w:themeColor="text1"/>
          <w:sz w:val="24"/>
          <w:szCs w:val="24"/>
          <w:highlight w:val="none"/>
          <w14:textFill>
            <w14:solidFill>
              <w14:schemeClr w14:val="tx1"/>
            </w14:solidFill>
          </w14:textFill>
        </w:rPr>
        <w:t>的</w:t>
      </w:r>
      <w:r>
        <w:rPr>
          <w:rFonts w:ascii="Calibri" w:hAnsi="Calibri" w:eastAsia="宋体" w:cs="Calibri"/>
          <w:color w:val="000000" w:themeColor="text1"/>
          <w:sz w:val="24"/>
          <w:szCs w:val="24"/>
          <w:highlight w:val="none"/>
          <w14:textFill>
            <w14:solidFill>
              <w14:schemeClr w14:val="tx1"/>
            </w14:solidFill>
          </w14:textFill>
        </w:rPr>
        <w:t>___</w:t>
      </w:r>
      <w:r>
        <w:rPr>
          <w:rFonts w:hint="eastAsia" w:ascii="Calibri" w:hAnsi="Calibri" w:eastAsia="宋体" w:cs="Calibri"/>
          <w:b/>
          <w:color w:val="000000" w:themeColor="text1"/>
          <w:sz w:val="24"/>
          <w:szCs w:val="24"/>
          <w:highlight w:val="none"/>
          <w:u w:val="single"/>
          <w14:textFill>
            <w14:solidFill>
              <w14:schemeClr w14:val="tx1"/>
            </w14:solidFill>
          </w14:textFill>
        </w:rPr>
        <w:t>项目</w:t>
      </w:r>
      <w:r>
        <w:rPr>
          <w:rFonts w:ascii="Calibri" w:hAnsi="Calibri" w:eastAsia="宋体" w:cs="Calibri"/>
          <w:b/>
          <w:color w:val="000000" w:themeColor="text1"/>
          <w:sz w:val="24"/>
          <w:szCs w:val="24"/>
          <w:highlight w:val="none"/>
          <w:u w:val="single"/>
          <w14:textFill>
            <w14:solidFill>
              <w14:schemeClr w14:val="tx1"/>
            </w14:solidFill>
          </w14:textFill>
        </w:rPr>
        <w:t>名称</w:t>
      </w:r>
      <w:r>
        <w:rPr>
          <w:rFonts w:hint="eastAsia" w:ascii="Calibri" w:hAnsi="Calibri" w:eastAsia="宋体" w:cs="Calibri"/>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采购活动提供本单位服务。</w:t>
      </w:r>
    </w:p>
    <w:p w14:paraId="1772B8D5">
      <w:pPr>
        <w:spacing w:line="360" w:lineRule="auto"/>
        <w:ind w:firstLine="480"/>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251223EF">
      <w:pPr>
        <w:spacing w:line="360" w:lineRule="auto"/>
        <w:ind w:firstLine="480"/>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Calibri"/>
          <w:color w:val="000000" w:themeColor="text1"/>
          <w:sz w:val="24"/>
          <w:szCs w:val="24"/>
          <w:highlight w:val="none"/>
          <w14:textFill>
            <w14:solidFill>
              <w14:schemeClr w14:val="tx1"/>
            </w14:solidFill>
          </w14:textFill>
        </w:rPr>
        <w:t xml:space="preserve"> </w:t>
      </w:r>
    </w:p>
    <w:p w14:paraId="4C9B8646">
      <w:pPr>
        <w:spacing w:line="360" w:lineRule="auto"/>
        <w:ind w:firstLine="480"/>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Calibri"/>
          <w:color w:val="000000" w:themeColor="text1"/>
          <w:sz w:val="24"/>
          <w:szCs w:val="24"/>
          <w:highlight w:val="none"/>
          <w14:textFill>
            <w14:solidFill>
              <w14:schemeClr w14:val="tx1"/>
            </w14:solidFill>
          </w14:textFill>
        </w:rPr>
        <w:t xml:space="preserve"> </w:t>
      </w:r>
    </w:p>
    <w:p w14:paraId="37E24D1F">
      <w:pPr>
        <w:spacing w:line="360" w:lineRule="auto"/>
        <w:ind w:firstLine="480"/>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Calibri"/>
          <w:color w:val="000000" w:themeColor="text1"/>
          <w:sz w:val="24"/>
          <w:szCs w:val="24"/>
          <w:highlight w:val="none"/>
          <w14:textFill>
            <w14:solidFill>
              <w14:schemeClr w14:val="tx1"/>
            </w14:solidFill>
          </w14:textFill>
        </w:rPr>
        <w:t xml:space="preserve"> </w:t>
      </w:r>
    </w:p>
    <w:p w14:paraId="6174F693">
      <w:pPr>
        <w:spacing w:line="360" w:lineRule="auto"/>
        <w:ind w:firstLine="5040"/>
        <w:rPr>
          <w:rFonts w:ascii="Calibri" w:hAnsi="Calibri" w:eastAsia="宋体" w:cs="Times New Roman"/>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b/>
          <w:color w:val="000000" w:themeColor="text1"/>
          <w:sz w:val="24"/>
          <w:szCs w:val="24"/>
          <w:highlight w:val="none"/>
          <w14:textFill>
            <w14:solidFill>
              <w14:schemeClr w14:val="tx1"/>
            </w14:solidFill>
          </w14:textFill>
        </w:rPr>
        <w:t>（公章）：</w:t>
      </w:r>
    </w:p>
    <w:p w14:paraId="24F610B6">
      <w:pPr>
        <w:spacing w:line="360" w:lineRule="auto"/>
        <w:ind w:firstLine="5040"/>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Calibri"/>
          <w:color w:val="000000" w:themeColor="text1"/>
          <w:sz w:val="24"/>
          <w:szCs w:val="24"/>
          <w:highlight w:val="none"/>
          <w14:textFill>
            <w14:solidFill>
              <w14:schemeClr w14:val="tx1"/>
            </w14:solidFill>
          </w14:textFill>
        </w:rPr>
        <w:t xml:space="preserve"> </w:t>
      </w:r>
    </w:p>
    <w:p w14:paraId="31729924">
      <w:pPr>
        <w:spacing w:line="360" w:lineRule="auto"/>
        <w:ind w:firstLine="5040"/>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ascii="Calibri" w:hAnsi="Calibri" w:eastAsia="宋体" w:cs="Calibri"/>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ascii="Calibri" w:hAnsi="Calibri" w:eastAsia="宋体" w:cs="Calibri"/>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ascii="Calibri" w:hAnsi="Calibri" w:eastAsia="宋体" w:cs="Calibri"/>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DD5176A">
      <w:pPr>
        <w:spacing w:line="360" w:lineRule="auto"/>
        <w:ind w:firstLine="18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B31394F">
      <w:pPr>
        <w:spacing w:before="100" w:beforeAutospacing="1" w:after="100" w:afterAutospacing="1" w:line="300" w:lineRule="exact"/>
        <w:jc w:val="left"/>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填报说明：</w:t>
      </w:r>
      <w:r>
        <w:rPr>
          <w:rFonts w:hint="eastAsia" w:ascii="宋体" w:hAnsi="宋体" w:eastAsia="宋体" w:cs="宋体"/>
          <w:color w:val="000000" w:themeColor="text1"/>
          <w:sz w:val="18"/>
          <w:szCs w:val="18"/>
          <w:highlight w:val="none"/>
          <w14:textFill>
            <w14:solidFill>
              <w14:schemeClr w14:val="tx1"/>
            </w14:solidFill>
          </w14:textFill>
        </w:rPr>
        <w:br w:type="textWrapping"/>
      </w:r>
      <w:r>
        <w:rPr>
          <w:rFonts w:hint="eastAsia" w:ascii="宋体" w:hAnsi="宋体" w:eastAsia="宋体" w:cs="宋体"/>
          <w:color w:val="000000" w:themeColor="text1"/>
          <w:sz w:val="18"/>
          <w:szCs w:val="18"/>
          <w:highlight w:val="none"/>
          <w14:textFill>
            <w14:solidFill>
              <w14:schemeClr w14:val="tx1"/>
            </w14:solidFill>
          </w14:textFill>
        </w:rPr>
        <w:t>1、请供应商如实填写，所填内容将作为评审的依据。如填写不完整，将不享受扶持政策。</w:t>
      </w:r>
    </w:p>
    <w:p w14:paraId="0C12CE2B">
      <w:pPr>
        <w:spacing w:before="100" w:beforeAutospacing="1" w:after="100" w:afterAutospacing="1" w:line="300" w:lineRule="exact"/>
        <w:jc w:val="left"/>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2、成交供应商（中标单位）的《残疾人福利性单位声明函》随成交（中标）结果公开。 </w:t>
      </w:r>
    </w:p>
    <w:p w14:paraId="3AAE88C6">
      <w:pPr>
        <w:spacing w:after="120" w:line="360" w:lineRule="auto"/>
        <w:ind w:firstLine="240"/>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w:t>
      </w:r>
    </w:p>
    <w:p w14:paraId="65059812">
      <w:pPr>
        <w:pStyle w:val="2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57857D16">
      <w:pPr>
        <w:spacing w:line="360" w:lineRule="auto"/>
        <w:ind w:firstLine="480"/>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w:t>
      </w:r>
    </w:p>
    <w:p w14:paraId="601DE6FF">
      <w:pPr>
        <w:spacing w:line="360" w:lineRule="auto"/>
        <w:ind w:firstLine="480"/>
        <w:rPr>
          <w:rFonts w:ascii="Times New Roman" w:hAnsi="Times New Roman" w:eastAsia="宋体" w:cs="Times New Roman"/>
          <w:color w:val="000000" w:themeColor="text1"/>
          <w:sz w:val="24"/>
          <w:szCs w:val="24"/>
          <w:highlight w:val="none"/>
          <w14:textFill>
            <w14:solidFill>
              <w14:schemeClr w14:val="tx1"/>
            </w14:solidFill>
          </w14:textFill>
        </w:rPr>
      </w:pPr>
    </w:p>
    <w:p w14:paraId="19A5D577">
      <w:pPr>
        <w:pStyle w:val="239"/>
        <w:rPr>
          <w:color w:val="000000" w:themeColor="text1"/>
          <w:highlight w:val="none"/>
          <w14:textFill>
            <w14:solidFill>
              <w14:schemeClr w14:val="tx1"/>
            </w14:solidFill>
          </w14:textFill>
        </w:rPr>
      </w:pPr>
    </w:p>
    <w:p w14:paraId="452FACB9">
      <w:pPr>
        <w:pStyle w:val="239"/>
        <w:rPr>
          <w:bCs/>
          <w:color w:val="000000" w:themeColor="text1"/>
          <w:sz w:val="28"/>
          <w:szCs w:val="28"/>
          <w:highlight w:val="none"/>
          <w14:textFill>
            <w14:solidFill>
              <w14:schemeClr w14:val="tx1"/>
            </w14:solidFill>
          </w14:textFill>
        </w:rPr>
      </w:pPr>
    </w:p>
    <w:p w14:paraId="3DB9E94A">
      <w:pPr>
        <w:pStyle w:val="239"/>
        <w:rPr>
          <w:rFonts w:ascii="宋体" w:hAnsi="宋体"/>
          <w:color w:val="000000" w:themeColor="text1"/>
          <w:sz w:val="32"/>
          <w:szCs w:val="32"/>
          <w:highlight w:val="none"/>
          <w14:textFill>
            <w14:solidFill>
              <w14:schemeClr w14:val="tx1"/>
            </w14:solidFill>
          </w14:textFill>
        </w:rPr>
      </w:pPr>
    </w:p>
    <w:p w14:paraId="303F63FB">
      <w:pPr>
        <w:pStyle w:val="239"/>
        <w:rPr>
          <w:rFonts w:ascii="宋体" w:hAnsi="宋体"/>
          <w:color w:val="000000" w:themeColor="text1"/>
          <w:szCs w:val="21"/>
          <w:highlight w:val="none"/>
          <w14:textFill>
            <w14:solidFill>
              <w14:schemeClr w14:val="tx1"/>
            </w14:solidFill>
          </w14:textFill>
        </w:rPr>
      </w:pPr>
    </w:p>
    <w:p w14:paraId="0DFAE02B">
      <w:pPr>
        <w:pStyle w:val="239"/>
        <w:rPr>
          <w:rFonts w:ascii="宋体" w:hAnsi="宋体"/>
          <w:color w:val="000000" w:themeColor="text1"/>
          <w:szCs w:val="21"/>
          <w:highlight w:val="none"/>
          <w14:textFill>
            <w14:solidFill>
              <w14:schemeClr w14:val="tx1"/>
            </w14:solidFill>
          </w14:textFill>
        </w:rPr>
      </w:pPr>
    </w:p>
    <w:p w14:paraId="4CC1346C">
      <w:pPr>
        <w:pStyle w:val="239"/>
        <w:rPr>
          <w:rFonts w:ascii="宋体" w:hAnsi="宋体"/>
          <w:color w:val="000000" w:themeColor="text1"/>
          <w:szCs w:val="21"/>
          <w:highlight w:val="none"/>
          <w14:textFill>
            <w14:solidFill>
              <w14:schemeClr w14:val="tx1"/>
            </w14:solidFill>
          </w14:textFill>
        </w:rPr>
      </w:pPr>
    </w:p>
    <w:p w14:paraId="534EF702">
      <w:pPr>
        <w:pStyle w:val="239"/>
        <w:rPr>
          <w:rFonts w:ascii="宋体" w:hAnsi="宋体"/>
          <w:color w:val="000000" w:themeColor="text1"/>
          <w:szCs w:val="21"/>
          <w:highlight w:val="none"/>
          <w14:textFill>
            <w14:solidFill>
              <w14:schemeClr w14:val="tx1"/>
            </w14:solidFill>
          </w14:textFill>
        </w:rPr>
      </w:pPr>
    </w:p>
    <w:p w14:paraId="6A1B0B12">
      <w:pPr>
        <w:tabs>
          <w:tab w:val="left" w:pos="360"/>
        </w:tabs>
        <w:spacing w:line="360" w:lineRule="auto"/>
        <w:ind w:left="357" w:firstLine="482"/>
        <w:jc w:val="center"/>
        <w:rPr>
          <w:rFonts w:ascii="宋体" w:hAnsi="宋体" w:eastAsia="宋体" w:cs="Times New Roman"/>
          <w:b/>
          <w:color w:val="000000" w:themeColor="text1"/>
          <w:sz w:val="24"/>
          <w:szCs w:val="21"/>
          <w:highlight w:val="none"/>
          <w14:textFill>
            <w14:solidFill>
              <w14:schemeClr w14:val="tx1"/>
            </w14:solidFill>
          </w14:textFill>
        </w:rPr>
      </w:pPr>
    </w:p>
    <w:p w14:paraId="3CA1DD94">
      <w:pPr>
        <w:spacing w:line="360" w:lineRule="auto"/>
        <w:ind w:firstLine="2340"/>
        <w:rPr>
          <w:rFonts w:ascii="黑体" w:hAnsi="宋体" w:eastAsia="黑体" w:cs="黑体"/>
          <w:color w:val="000000" w:themeColor="text1"/>
          <w:sz w:val="36"/>
          <w:szCs w:val="36"/>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4.1法定代表人身份证明书</w:t>
      </w:r>
    </w:p>
    <w:p w14:paraId="06B60684">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投标人：</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   </w:t>
      </w:r>
    </w:p>
    <w:p w14:paraId="6F26339D">
      <w:pPr>
        <w:tabs>
          <w:tab w:val="left" w:pos="360"/>
        </w:tabs>
        <w:spacing w:line="500" w:lineRule="exact"/>
        <w:ind w:left="351" w:firstLine="482"/>
        <w:jc w:val="left"/>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单位性质：</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p>
    <w:p w14:paraId="59F49B1A">
      <w:pPr>
        <w:tabs>
          <w:tab w:val="left" w:pos="360"/>
        </w:tabs>
        <w:spacing w:line="500" w:lineRule="exact"/>
        <w:ind w:left="351" w:firstLine="482"/>
        <w:jc w:val="left"/>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地    址：</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p>
    <w:p w14:paraId="7F02E9AC">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成立时间：</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年</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月</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日</w:t>
      </w:r>
    </w:p>
    <w:p w14:paraId="6F7334CF">
      <w:pPr>
        <w:tabs>
          <w:tab w:val="left" w:pos="360"/>
        </w:tabs>
        <w:spacing w:line="500" w:lineRule="exact"/>
        <w:ind w:left="351" w:firstLine="482"/>
        <w:jc w:val="left"/>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经营期限：</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p>
    <w:p w14:paraId="24779FFF">
      <w:pPr>
        <w:tabs>
          <w:tab w:val="left" w:pos="360"/>
        </w:tabs>
        <w:spacing w:line="500" w:lineRule="exact"/>
        <w:ind w:left="351" w:firstLine="482"/>
        <w:jc w:val="left"/>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姓    名：</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 性 别：</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      年 龄：</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    职务</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       </w:t>
      </w:r>
    </w:p>
    <w:p w14:paraId="031E26CD">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系</w:t>
      </w:r>
      <w:r>
        <w:rPr>
          <w:rFonts w:hint="eastAsia" w:ascii="宋体" w:hAnsi="宋体" w:eastAsia="宋体" w:cs="Times New Roman"/>
          <w:b/>
          <w:color w:val="000000" w:themeColor="text1"/>
          <w:sz w:val="24"/>
          <w:szCs w:val="21"/>
          <w:highlight w:val="none"/>
          <w:u w:val="single"/>
          <w14:textFill>
            <w14:solidFill>
              <w14:schemeClr w14:val="tx1"/>
            </w14:solidFill>
          </w14:textFill>
        </w:rPr>
        <w:t>（投标人名称）</w:t>
      </w:r>
      <w:r>
        <w:rPr>
          <w:rFonts w:hint="eastAsia" w:ascii="宋体" w:hAnsi="宋体" w:eastAsia="宋体" w:cs="Times New Roman"/>
          <w:b/>
          <w:color w:val="000000" w:themeColor="text1"/>
          <w:sz w:val="24"/>
          <w:szCs w:val="21"/>
          <w:highlight w:val="none"/>
          <w14:textFill>
            <w14:solidFill>
              <w14:schemeClr w14:val="tx1"/>
            </w14:solidFill>
          </w14:textFill>
        </w:rPr>
        <w:t>的法定代表人。</w:t>
      </w:r>
    </w:p>
    <w:p w14:paraId="21C69139">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特此证明。</w:t>
      </w:r>
    </w:p>
    <w:p w14:paraId="470500D4">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7F280F5F">
      <w:pPr>
        <w:tabs>
          <w:tab w:val="left" w:pos="567"/>
        </w:tabs>
        <w:spacing w:before="120" w:line="583" w:lineRule="auto"/>
        <w:ind w:right="-46" w:firstLine="234"/>
        <w:rPr>
          <w:rFonts w:ascii="宋体" w:hAnsi="宋体" w:eastAsia="宋体" w:cs="Times New Roman"/>
          <w:color w:val="000000" w:themeColor="text1"/>
          <w:spacing w:val="-3"/>
          <w:sz w:val="24"/>
          <w:szCs w:val="24"/>
          <w:highlight w:val="none"/>
          <w14:textFill>
            <w14:solidFill>
              <w14:schemeClr w14:val="tx1"/>
            </w14:solidFill>
          </w14:textFill>
        </w:rPr>
      </w:pPr>
      <w:r>
        <w:rPr>
          <w:rFonts w:ascii="宋体" w:hAnsi="宋体" w:eastAsia="宋体" w:cs="Times New Roman"/>
          <w:color w:val="000000" w:themeColor="text1"/>
          <w:spacing w:val="-3"/>
          <w:sz w:val="24"/>
          <w:szCs w:val="24"/>
          <w:highlight w:val="none"/>
          <w14:textFill>
            <w14:solidFill>
              <w14:schemeClr w14:val="tx1"/>
            </w14:solidFill>
          </w14:textFill>
        </w:rPr>
        <w:t>法</w:t>
      </w:r>
      <w:r>
        <w:rPr>
          <w:rFonts w:ascii="宋体" w:hAnsi="宋体" w:eastAsia="宋体" w:cs="Times New Roman"/>
          <w:color w:val="000000" w:themeColor="text1"/>
          <w:sz w:val="24"/>
          <w:szCs w:val="24"/>
          <w:highlight w:val="none"/>
          <w14:textFill>
            <w14:solidFill>
              <w14:schemeClr w14:val="tx1"/>
            </w14:solidFill>
          </w14:textFill>
        </w:rPr>
        <w:t>定</w:t>
      </w:r>
      <w:r>
        <w:rPr>
          <w:rFonts w:ascii="宋体" w:hAnsi="宋体" w:eastAsia="宋体" w:cs="Times New Roman"/>
          <w:color w:val="000000" w:themeColor="text1"/>
          <w:spacing w:val="-3"/>
          <w:sz w:val="24"/>
          <w:szCs w:val="24"/>
          <w:highlight w:val="none"/>
          <w14:textFill>
            <w14:solidFill>
              <w14:schemeClr w14:val="tx1"/>
            </w14:solidFill>
          </w14:textFill>
        </w:rPr>
        <w:t>代</w:t>
      </w:r>
      <w:r>
        <w:rPr>
          <w:rFonts w:ascii="宋体" w:hAnsi="宋体" w:eastAsia="宋体" w:cs="Times New Roman"/>
          <w:color w:val="000000" w:themeColor="text1"/>
          <w:sz w:val="24"/>
          <w:szCs w:val="24"/>
          <w:highlight w:val="none"/>
          <w14:textFill>
            <w14:solidFill>
              <w14:schemeClr w14:val="tx1"/>
            </w14:solidFill>
          </w14:textFill>
        </w:rPr>
        <w:t>表</w:t>
      </w:r>
      <w:r>
        <w:rPr>
          <w:rFonts w:ascii="宋体" w:hAnsi="宋体" w:eastAsia="宋体" w:cs="Times New Roman"/>
          <w:color w:val="000000" w:themeColor="text1"/>
          <w:spacing w:val="-3"/>
          <w:sz w:val="24"/>
          <w:szCs w:val="24"/>
          <w:highlight w:val="none"/>
          <w14:textFill>
            <w14:solidFill>
              <w14:schemeClr w14:val="tx1"/>
            </w14:solidFill>
          </w14:textFill>
        </w:rPr>
        <w:t>人有效期内的身</w:t>
      </w:r>
      <w:r>
        <w:rPr>
          <w:rFonts w:hint="eastAsia" w:ascii="宋体" w:hAnsi="宋体" w:eastAsia="宋体" w:cs="Times New Roman"/>
          <w:color w:val="000000" w:themeColor="text1"/>
          <w:spacing w:val="-3"/>
          <w:sz w:val="24"/>
          <w:szCs w:val="24"/>
          <w:highlight w:val="none"/>
          <w14:textFill>
            <w14:solidFill>
              <w14:schemeClr w14:val="tx1"/>
            </w14:solidFill>
          </w14:textFill>
        </w:rPr>
        <w:t>份</w:t>
      </w:r>
      <w:r>
        <w:rPr>
          <w:rFonts w:ascii="宋体" w:hAnsi="宋体" w:eastAsia="宋体" w:cs="Times New Roman"/>
          <w:color w:val="000000" w:themeColor="text1"/>
          <w:spacing w:val="-3"/>
          <w:sz w:val="24"/>
          <w:szCs w:val="24"/>
          <w:highlight w:val="none"/>
          <w14:textFill>
            <w14:solidFill>
              <w14:schemeClr w14:val="tx1"/>
            </w14:solidFill>
          </w14:textFill>
        </w:rPr>
        <w:t>证正反面</w:t>
      </w:r>
      <w:r>
        <w:rPr>
          <w:rFonts w:hint="eastAsia" w:ascii="宋体" w:hAnsi="宋体" w:eastAsia="宋体" w:cs="Times New Roman"/>
          <w:color w:val="000000" w:themeColor="text1"/>
          <w:spacing w:val="-3"/>
          <w:sz w:val="24"/>
          <w:szCs w:val="24"/>
          <w:highlight w:val="none"/>
          <w14:textFill>
            <w14:solidFill>
              <w14:schemeClr w14:val="tx1"/>
            </w14:solidFill>
          </w14:textFill>
        </w:rPr>
        <w:t>电子</w:t>
      </w:r>
      <w:r>
        <w:rPr>
          <w:rFonts w:ascii="宋体" w:hAnsi="宋体" w:eastAsia="宋体" w:cs="Times New Roman"/>
          <w:color w:val="000000" w:themeColor="text1"/>
          <w:spacing w:val="-3"/>
          <w:sz w:val="24"/>
          <w:szCs w:val="24"/>
          <w:highlight w:val="none"/>
          <w14:textFill>
            <w14:solidFill>
              <w14:schemeClr w14:val="tx1"/>
            </w14:solidFill>
          </w14:textFill>
        </w:rPr>
        <w:t>件</w:t>
      </w:r>
      <w:r>
        <w:rPr>
          <w:rFonts w:hint="eastAsia" w:ascii="宋体" w:hAnsi="宋体" w:eastAsia="宋体" w:cs="Times New Roman"/>
          <w:color w:val="000000" w:themeColor="text1"/>
          <w:spacing w:val="-3"/>
          <w:sz w:val="24"/>
          <w:szCs w:val="24"/>
          <w:highlight w:val="none"/>
          <w14:textFill>
            <w14:solidFill>
              <w14:schemeClr w14:val="tx1"/>
            </w14:solidFill>
          </w14:textFill>
        </w:rPr>
        <w:t>：</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3914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37BDED0">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07347EC5">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529462D8">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c>
          <w:tcPr>
            <w:tcW w:w="4536" w:type="dxa"/>
          </w:tcPr>
          <w:p w14:paraId="163C9869">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5AAD1FCF">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27EB91A7">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r>
    </w:tbl>
    <w:p w14:paraId="3BD02BD3">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08CB536F">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36F52D2B">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6BF44AB4">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投标人： （盖单位章）</w:t>
      </w:r>
    </w:p>
    <w:p w14:paraId="3D575159">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58FEEA79">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377D63C1">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 xml:space="preserve">  年     月     日</w:t>
      </w:r>
    </w:p>
    <w:p w14:paraId="45A69341">
      <w:pPr>
        <w:tabs>
          <w:tab w:val="left" w:pos="360"/>
        </w:tabs>
        <w:spacing w:line="500" w:lineRule="exact"/>
        <w:ind w:left="351"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6C1A0AC6">
      <w:pPr>
        <w:tabs>
          <w:tab w:val="left" w:pos="360"/>
        </w:tabs>
        <w:spacing w:line="360" w:lineRule="auto"/>
        <w:ind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26AE98F2">
      <w:pPr>
        <w:tabs>
          <w:tab w:val="left" w:pos="360"/>
        </w:tabs>
        <w:spacing w:line="360" w:lineRule="auto"/>
        <w:ind w:firstLine="482"/>
        <w:jc w:val="left"/>
        <w:rPr>
          <w:rFonts w:ascii="宋体" w:hAnsi="宋体" w:eastAsia="宋体" w:cs="Times New Roman"/>
          <w:b/>
          <w:color w:val="000000" w:themeColor="text1"/>
          <w:sz w:val="24"/>
          <w:szCs w:val="21"/>
          <w:highlight w:val="none"/>
          <w14:textFill>
            <w14:solidFill>
              <w14:schemeClr w14:val="tx1"/>
            </w14:solidFill>
          </w14:textFill>
        </w:rPr>
      </w:pPr>
    </w:p>
    <w:p w14:paraId="3E5B6CE5">
      <w:pPr>
        <w:widowControl/>
        <w:spacing w:before="100" w:beforeAutospacing="1" w:after="100" w:afterAutospacing="1" w:line="369" w:lineRule="atLeast"/>
        <w:jc w:val="center"/>
        <w:rPr>
          <w:rFonts w:ascii="宋体" w:hAnsi="宋体" w:eastAsia="宋体" w:cs="宋体"/>
          <w:b/>
          <w:bCs/>
          <w:color w:val="000000" w:themeColor="text1"/>
          <w:sz w:val="32"/>
          <w:szCs w:val="32"/>
          <w:highlight w:val="none"/>
          <w14:textFill>
            <w14:solidFill>
              <w14:schemeClr w14:val="tx1"/>
            </w14:solidFill>
          </w14:textFill>
        </w:rPr>
      </w:pPr>
    </w:p>
    <w:p w14:paraId="2AEFA188">
      <w:pPr>
        <w:widowControl/>
        <w:spacing w:before="100" w:beforeAutospacing="1" w:after="100" w:afterAutospacing="1" w:line="369" w:lineRule="atLeast"/>
        <w:jc w:val="center"/>
        <w:rPr>
          <w:rFonts w:ascii="宋体" w:hAnsi="宋体" w:eastAsia="宋体" w:cs="宋体"/>
          <w:b/>
          <w:bCs/>
          <w:color w:val="000000" w:themeColor="text1"/>
          <w:sz w:val="32"/>
          <w:szCs w:val="32"/>
          <w:highlight w:val="none"/>
          <w14:textFill>
            <w14:solidFill>
              <w14:schemeClr w14:val="tx1"/>
            </w14:solidFill>
          </w14:textFill>
        </w:rPr>
      </w:pPr>
    </w:p>
    <w:p w14:paraId="14644187">
      <w:pPr>
        <w:widowControl/>
        <w:spacing w:before="100" w:beforeAutospacing="1" w:after="100" w:afterAutospacing="1" w:line="369" w:lineRule="atLeast"/>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4.2 授权委托书</w:t>
      </w:r>
    </w:p>
    <w:p w14:paraId="0EBE2653">
      <w:pPr>
        <w:widowControl/>
        <w:spacing w:line="400" w:lineRule="exact"/>
        <w:ind w:firstLine="24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的法定代表人，现委托 </w:t>
      </w:r>
      <w:r>
        <w:rPr>
          <w:rFonts w:hint="eastAsia" w:ascii="宋体" w:hAnsi="宋体" w:eastAsia="宋体" w:cs="宋体"/>
          <w:b/>
          <w:color w:val="000000" w:themeColor="text1"/>
          <w:sz w:val="24"/>
          <w:szCs w:val="24"/>
          <w:highlight w:val="none"/>
          <w:u w:val="single"/>
          <w14:textFill>
            <w14:solidFill>
              <w14:schemeClr w14:val="tx1"/>
            </w14:solidFill>
          </w14:textFill>
        </w:rPr>
        <w:t>（项目负责人姓名）</w:t>
      </w:r>
      <w:r>
        <w:rPr>
          <w:rFonts w:hint="eastAsia" w:ascii="宋体" w:hAnsi="宋体" w:eastAsia="宋体" w:cs="宋体"/>
          <w:color w:val="000000" w:themeColor="text1"/>
          <w:sz w:val="24"/>
          <w:szCs w:val="24"/>
          <w:highlight w:val="none"/>
          <w14:textFill>
            <w14:solidFill>
              <w14:schemeClr w14:val="tx1"/>
            </w14:solidFill>
          </w14:textFill>
        </w:rPr>
        <w:t xml:space="preserve"> 为我方代理人。代理人根据授权，以我方名义签署、澄清、说明、补正、提交、撤回、修改</w:t>
      </w:r>
      <w:r>
        <w:rPr>
          <w:rFonts w:hint="eastAsia" w:ascii="宋体" w:hAnsi="宋体" w:eastAsia="宋体" w:cs="宋体"/>
          <w:b/>
          <w:color w:val="000000" w:themeColor="text1"/>
          <w:sz w:val="24"/>
          <w:szCs w:val="24"/>
          <w:highlight w:val="none"/>
          <w:u w:val="single"/>
          <w14:textFill>
            <w14:solidFill>
              <w14:schemeClr w14:val="tx1"/>
            </w14:solidFill>
          </w14:textFill>
        </w:rPr>
        <w:t>分包名称</w:t>
      </w:r>
      <w:r>
        <w:rPr>
          <w:rFonts w:hint="eastAsia" w:ascii="宋体" w:hAnsi="宋体" w:eastAsia="宋体" w:cs="宋体"/>
          <w:color w:val="000000" w:themeColor="text1"/>
          <w:sz w:val="24"/>
          <w:szCs w:val="24"/>
          <w:highlight w:val="none"/>
          <w14:textFill>
            <w14:solidFill>
              <w14:schemeClr w14:val="tx1"/>
            </w14:solidFill>
          </w14:textFill>
        </w:rPr>
        <w:t>响应文件、签订合同和处理有关事宜，其法律后果由我方承担。</w:t>
      </w:r>
    </w:p>
    <w:p w14:paraId="340A4786">
      <w:pPr>
        <w:widowControl/>
        <w:spacing w:line="400" w:lineRule="exact"/>
        <w:ind w:firstLine="480"/>
        <w:rPr>
          <w:rFonts w:ascii="宋体" w:hAnsi="宋体" w:eastAsia="宋体" w:cs="宋体"/>
          <w:color w:val="000000" w:themeColor="text1"/>
          <w:sz w:val="24"/>
          <w:szCs w:val="24"/>
          <w:highlight w:val="none"/>
          <w14:textFill>
            <w14:solidFill>
              <w14:schemeClr w14:val="tx1"/>
            </w14:solidFill>
          </w14:textFill>
        </w:rPr>
      </w:pPr>
    </w:p>
    <w:p w14:paraId="1A2A50ED">
      <w:pPr>
        <w:widowControl/>
        <w:spacing w:line="400" w:lineRule="exact"/>
        <w:ind w:firstLine="48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94B4588">
      <w:pPr>
        <w:widowControl/>
        <w:spacing w:line="400" w:lineRule="exact"/>
        <w:ind w:firstLine="480"/>
        <w:rPr>
          <w:rFonts w:ascii="宋体" w:hAnsi="宋体" w:eastAsia="宋体" w:cs="宋体"/>
          <w:color w:val="000000" w:themeColor="text1"/>
          <w:sz w:val="24"/>
          <w:szCs w:val="24"/>
          <w:highlight w:val="none"/>
          <w14:textFill>
            <w14:solidFill>
              <w14:schemeClr w14:val="tx1"/>
            </w14:solidFill>
          </w14:textFill>
        </w:rPr>
      </w:pPr>
    </w:p>
    <w:p w14:paraId="4867B088">
      <w:pPr>
        <w:widowControl/>
        <w:spacing w:line="40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代理人无转委托权。</w:t>
      </w:r>
    </w:p>
    <w:p w14:paraId="7FA0B251">
      <w:pPr>
        <w:widowControl/>
        <w:spacing w:before="100" w:beforeAutospacing="1" w:after="100" w:afterAutospacing="1" w:line="276" w:lineRule="atLeas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599AB904">
      <w:pPr>
        <w:widowControl/>
        <w:spacing w:before="100" w:beforeAutospacing="1" w:after="100" w:afterAutospacing="1" w:line="276" w:lineRule="atLeas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投标人（盖章）：</w:t>
      </w:r>
    </w:p>
    <w:p w14:paraId="3BD9D4F7">
      <w:pPr>
        <w:widowControl/>
        <w:spacing w:before="100" w:beforeAutospacing="1" w:after="100" w:afterAutospacing="1" w:line="276" w:lineRule="atLeast"/>
        <w:ind w:firstLine="12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法定代表人（盖章或签名）：</w:t>
      </w:r>
    </w:p>
    <w:p w14:paraId="25C9E13C">
      <w:pPr>
        <w:widowControl/>
        <w:spacing w:before="100" w:beforeAutospacing="1" w:after="100" w:afterAutospacing="1" w:line="276" w:lineRule="atLeast"/>
        <w:ind w:firstLine="12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身份证号码：</w:t>
      </w:r>
    </w:p>
    <w:p w14:paraId="43EBE68E">
      <w:pPr>
        <w:widowControl/>
        <w:spacing w:before="100" w:beforeAutospacing="1" w:after="100" w:afterAutospacing="1" w:line="276" w:lineRule="atLeast"/>
        <w:ind w:firstLine="12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委托代理人（项目负责人）（盖章或签名）：</w:t>
      </w:r>
    </w:p>
    <w:p w14:paraId="0BEA4047">
      <w:pPr>
        <w:widowControl/>
        <w:spacing w:before="100" w:beforeAutospacing="1" w:after="100" w:afterAutospacing="1" w:line="276" w:lineRule="atLeast"/>
        <w:ind w:firstLine="12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身份证号码：</w:t>
      </w:r>
    </w:p>
    <w:p w14:paraId="61282989">
      <w:pPr>
        <w:widowControl/>
        <w:spacing w:before="100" w:beforeAutospacing="1" w:after="100" w:afterAutospacing="1" w:line="276" w:lineRule="atLeast"/>
        <w:ind w:firstLine="24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p>
    <w:p w14:paraId="39B0FC39">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t>法定代表人有效期内的身份证</w:t>
      </w:r>
      <w:r>
        <w:rPr>
          <w:rFonts w:ascii="宋体" w:hAnsi="宋体" w:eastAsia="宋体" w:cs="Times New Roman"/>
          <w:b/>
          <w:color w:val="000000" w:themeColor="text1"/>
          <w:sz w:val="24"/>
          <w:szCs w:val="20"/>
          <w:highlight w:val="none"/>
          <w14:textFill>
            <w14:solidFill>
              <w14:schemeClr w14:val="tx1"/>
            </w14:solidFill>
          </w14:textFill>
        </w:rPr>
        <w:t>正反面</w:t>
      </w:r>
      <w:r>
        <w:rPr>
          <w:rFonts w:ascii="宋体" w:hAnsi="宋体" w:eastAsia="宋体" w:cs="Times New Roman"/>
          <w:color w:val="000000" w:themeColor="text1"/>
          <w:sz w:val="24"/>
          <w:szCs w:val="20"/>
          <w:highlight w:val="none"/>
          <w14:textFill>
            <w14:solidFill>
              <w14:schemeClr w14:val="tx1"/>
            </w14:solidFill>
          </w14:textFill>
        </w:rPr>
        <w:t>电子件：</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0741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9C4DE6">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6D057080">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37EECD6D">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c>
          <w:tcPr>
            <w:tcW w:w="4536" w:type="dxa"/>
          </w:tcPr>
          <w:p w14:paraId="167B9BC9">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58950175">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5A2410F0">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r>
    </w:tbl>
    <w:p w14:paraId="41877623">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委托代理人</w:t>
      </w:r>
      <w:r>
        <w:rPr>
          <w:rFonts w:ascii="宋体" w:hAnsi="宋体" w:eastAsia="宋体" w:cs="Times New Roman"/>
          <w:color w:val="000000" w:themeColor="text1"/>
          <w:sz w:val="24"/>
          <w:szCs w:val="20"/>
          <w:highlight w:val="none"/>
          <w14:textFill>
            <w14:solidFill>
              <w14:schemeClr w14:val="tx1"/>
            </w14:solidFill>
          </w14:textFill>
        </w:rPr>
        <w:t>有效期内的身份证</w:t>
      </w:r>
      <w:r>
        <w:rPr>
          <w:rFonts w:ascii="宋体" w:hAnsi="宋体" w:eastAsia="宋体" w:cs="Times New Roman"/>
          <w:b/>
          <w:color w:val="000000" w:themeColor="text1"/>
          <w:sz w:val="24"/>
          <w:szCs w:val="20"/>
          <w:highlight w:val="none"/>
          <w14:textFill>
            <w14:solidFill>
              <w14:schemeClr w14:val="tx1"/>
            </w14:solidFill>
          </w14:textFill>
        </w:rPr>
        <w:t>正反面</w:t>
      </w:r>
      <w:r>
        <w:rPr>
          <w:rFonts w:ascii="宋体" w:hAnsi="宋体" w:eastAsia="宋体" w:cs="Times New Roman"/>
          <w:color w:val="000000" w:themeColor="text1"/>
          <w:sz w:val="24"/>
          <w:szCs w:val="20"/>
          <w:highlight w:val="none"/>
          <w14:textFill>
            <w14:solidFill>
              <w14:schemeClr w14:val="tx1"/>
            </w14:solidFill>
          </w14:textFill>
        </w:rPr>
        <w:t>电子件：</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7650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58EAC9D">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3854D532">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43E153DE">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c>
          <w:tcPr>
            <w:tcW w:w="4536" w:type="dxa"/>
          </w:tcPr>
          <w:p w14:paraId="19A48967">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47F6503E">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p w14:paraId="26735944">
            <w:pPr>
              <w:tabs>
                <w:tab w:val="left" w:pos="5580"/>
              </w:tabs>
              <w:spacing w:line="360" w:lineRule="auto"/>
              <w:jc w:val="left"/>
              <w:rPr>
                <w:rFonts w:ascii="宋体" w:hAnsi="宋体" w:eastAsia="宋体" w:cs="Times New Roman"/>
                <w:color w:val="000000" w:themeColor="text1"/>
                <w:sz w:val="24"/>
                <w:szCs w:val="20"/>
                <w:highlight w:val="none"/>
                <w14:textFill>
                  <w14:solidFill>
                    <w14:schemeClr w14:val="tx1"/>
                  </w14:solidFill>
                </w14:textFill>
              </w:rPr>
            </w:pPr>
          </w:p>
        </w:tc>
      </w:tr>
    </w:tbl>
    <w:p w14:paraId="7D6566D8">
      <w:pPr>
        <w:widowControl/>
        <w:spacing w:before="100" w:beforeAutospacing="1" w:after="100" w:afterAutospacing="1" w:line="276" w:lineRule="atLeast"/>
        <w:rPr>
          <w:rFonts w:ascii="宋体" w:hAnsi="宋体" w:eastAsia="宋体" w:cs="宋体"/>
          <w:color w:val="000000" w:themeColor="text1"/>
          <w:sz w:val="24"/>
          <w:szCs w:val="24"/>
          <w:highlight w:val="none"/>
          <w14:textFill>
            <w14:solidFill>
              <w14:schemeClr w14:val="tx1"/>
            </w14:solidFill>
          </w14:textFill>
        </w:rPr>
      </w:pPr>
    </w:p>
    <w:p w14:paraId="4272E97A">
      <w:pPr>
        <w:rPr>
          <w:rFonts w:ascii="Times New Roman" w:hAnsi="Times New Roman" w:eastAsia="宋体" w:cs="Times New Roman"/>
          <w:color w:val="000000" w:themeColor="text1"/>
          <w:szCs w:val="24"/>
          <w:highlight w:val="none"/>
          <w14:textFill>
            <w14:solidFill>
              <w14:schemeClr w14:val="tx1"/>
            </w14:solidFill>
          </w14:textFill>
        </w:rPr>
      </w:pPr>
    </w:p>
    <w:p w14:paraId="5EF6D59C">
      <w:pPr>
        <w:rPr>
          <w:rFonts w:ascii="Times New Roman" w:hAnsi="Times New Roman" w:eastAsia="宋体" w:cs="Times New Roman"/>
          <w:color w:val="000000" w:themeColor="text1"/>
          <w:szCs w:val="24"/>
          <w:highlight w:val="none"/>
          <w14:textFill>
            <w14:solidFill>
              <w14:schemeClr w14:val="tx1"/>
            </w14:solidFill>
          </w14:textFill>
        </w:rPr>
      </w:pPr>
    </w:p>
    <w:p w14:paraId="4FD70F27">
      <w:pPr>
        <w:rPr>
          <w:rFonts w:ascii="Times New Roman" w:hAnsi="Times New Roman" w:eastAsia="宋体" w:cs="Times New Roman"/>
          <w:color w:val="000000" w:themeColor="text1"/>
          <w:szCs w:val="24"/>
          <w:highlight w:val="none"/>
          <w14:textFill>
            <w14:solidFill>
              <w14:schemeClr w14:val="tx1"/>
            </w14:solidFill>
          </w14:textFill>
        </w:rPr>
      </w:pPr>
    </w:p>
    <w:p w14:paraId="7359138F">
      <w:pPr>
        <w:rPr>
          <w:rFonts w:ascii="Times New Roman" w:hAnsi="Times New Roman" w:eastAsia="宋体" w:cs="Times New Roman"/>
          <w:color w:val="000000" w:themeColor="text1"/>
          <w:szCs w:val="24"/>
          <w:highlight w:val="none"/>
          <w14:textFill>
            <w14:solidFill>
              <w14:schemeClr w14:val="tx1"/>
            </w14:solidFill>
          </w14:textFill>
        </w:rPr>
      </w:pPr>
    </w:p>
    <w:p w14:paraId="0B52F81B">
      <w:pPr>
        <w:rPr>
          <w:rFonts w:ascii="Times New Roman" w:hAnsi="Times New Roman" w:eastAsia="宋体" w:cs="Times New Roman"/>
          <w:color w:val="000000" w:themeColor="text1"/>
          <w:highlight w:val="none"/>
          <w14:textFill>
            <w14:solidFill>
              <w14:schemeClr w14:val="tx1"/>
            </w14:solidFill>
          </w14:textFill>
        </w:rPr>
      </w:pPr>
    </w:p>
    <w:p w14:paraId="70879CBA">
      <w:pPr>
        <w:spacing w:before="120" w:after="120" w:line="500" w:lineRule="exact"/>
        <w:ind w:firstLine="2880"/>
        <w:jc w:val="left"/>
        <w:rPr>
          <w:rFonts w:ascii="黑体" w:hAnsi="黑体" w:eastAsia="黑体" w:cs="Times New Roman"/>
          <w:color w:val="000000" w:themeColor="text1"/>
          <w:sz w:val="36"/>
          <w:szCs w:val="36"/>
          <w:highlight w:val="none"/>
          <w14:textFill>
            <w14:solidFill>
              <w14:schemeClr w14:val="tx1"/>
            </w14:solidFill>
          </w14:textFill>
        </w:rPr>
      </w:pPr>
    </w:p>
    <w:p w14:paraId="7F3317B6">
      <w:pPr>
        <w:spacing w:before="120" w:after="120" w:line="500" w:lineRule="exact"/>
        <w:ind w:firstLine="2880"/>
        <w:jc w:val="left"/>
        <w:rPr>
          <w:rFonts w:ascii="黑体" w:hAnsi="黑体" w:eastAsia="黑体" w:cs="Times New Roman"/>
          <w:color w:val="000000" w:themeColor="text1"/>
          <w:sz w:val="36"/>
          <w:szCs w:val="36"/>
          <w:highlight w:val="none"/>
          <w14:textFill>
            <w14:solidFill>
              <w14:schemeClr w14:val="tx1"/>
            </w14:solidFill>
          </w14:textFill>
        </w:rPr>
      </w:pPr>
      <w:r>
        <w:rPr>
          <w:rFonts w:hint="eastAsia" w:ascii="黑体" w:hAnsi="黑体" w:eastAsia="黑体" w:cs="Times New Roman"/>
          <w:color w:val="000000" w:themeColor="text1"/>
          <w:sz w:val="36"/>
          <w:szCs w:val="36"/>
          <w:highlight w:val="none"/>
          <w14:textFill>
            <w14:solidFill>
              <w14:schemeClr w14:val="tx1"/>
            </w14:solidFill>
          </w14:textFill>
        </w:rPr>
        <w:t>5、</w:t>
      </w:r>
      <w:r>
        <w:rPr>
          <w:rFonts w:ascii="黑体" w:hAnsi="黑体" w:eastAsia="黑体" w:cs="Times New Roman"/>
          <w:color w:val="000000" w:themeColor="text1"/>
          <w:sz w:val="36"/>
          <w:szCs w:val="36"/>
          <w:highlight w:val="none"/>
          <w14:textFill>
            <w14:solidFill>
              <w14:schemeClr w14:val="tx1"/>
            </w14:solidFill>
          </w14:textFill>
        </w:rPr>
        <w:t>商务条款偏离表</w:t>
      </w:r>
    </w:p>
    <w:p w14:paraId="76B97AA2">
      <w:pPr>
        <w:rPr>
          <w:rFonts w:ascii="Calibri" w:hAnsi="Calibri" w:eastAsia="宋体" w:cs="Times New Roman"/>
          <w:color w:val="000000" w:themeColor="text1"/>
          <w:szCs w:val="24"/>
          <w:highlight w:val="none"/>
          <w:u w:val="singl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分包（采购包）名称</w:t>
      </w:r>
      <w:r>
        <w:rPr>
          <w:rFonts w:hint="eastAsia" w:ascii="Calibri" w:hAnsi="Calibri" w:eastAsia="宋体" w:cs="Times New Roman"/>
          <w:color w:val="000000" w:themeColor="text1"/>
          <w:szCs w:val="24"/>
          <w:highlight w:val="none"/>
          <w14:textFill>
            <w14:solidFill>
              <w14:schemeClr w14:val="tx1"/>
            </w14:solidFill>
          </w14:textFill>
        </w:rPr>
        <w:t>：</w:t>
      </w:r>
      <w:r>
        <w:rPr>
          <w:rFonts w:hint="eastAsia" w:ascii="Calibri" w:hAnsi="Calibri" w:eastAsia="宋体" w:cs="Times New Roman"/>
          <w:color w:val="000000" w:themeColor="text1"/>
          <w:szCs w:val="24"/>
          <w:highlight w:val="none"/>
          <w:u w:val="single"/>
          <w14:textFill>
            <w14:solidFill>
              <w14:schemeClr w14:val="tx1"/>
            </w14:solidFill>
          </w14:textFill>
        </w:rPr>
        <w:t xml:space="preserve">              </w:t>
      </w:r>
    </w:p>
    <w:tbl>
      <w:tblPr>
        <w:tblStyle w:val="51"/>
        <w:tblpPr w:leftFromText="180" w:rightFromText="180" w:vertAnchor="text" w:horzAnchor="margin" w:tblpY="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4500"/>
        <w:gridCol w:w="3363"/>
        <w:gridCol w:w="797"/>
      </w:tblGrid>
      <w:tr w14:paraId="34E7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0" w:type="auto"/>
            <w:vAlign w:val="center"/>
          </w:tcPr>
          <w:p w14:paraId="7BDA6713">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项号</w:t>
            </w:r>
          </w:p>
        </w:tc>
        <w:tc>
          <w:tcPr>
            <w:tcW w:w="4501" w:type="dxa"/>
            <w:vAlign w:val="center"/>
          </w:tcPr>
          <w:p w14:paraId="3353271E">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采购文件的商务条款</w:t>
            </w:r>
          </w:p>
        </w:tc>
        <w:tc>
          <w:tcPr>
            <w:tcW w:w="3363" w:type="dxa"/>
            <w:vAlign w:val="center"/>
          </w:tcPr>
          <w:p w14:paraId="504037A6">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投标</w:t>
            </w:r>
            <w:r>
              <w:rPr>
                <w:rFonts w:ascii="宋体" w:hAnsi="宋体" w:eastAsia="宋体" w:cs="Times New Roman"/>
                <w:color w:val="000000" w:themeColor="text1"/>
                <w:sz w:val="24"/>
                <w:szCs w:val="24"/>
                <w:highlight w:val="none"/>
                <w14:textFill>
                  <w14:solidFill>
                    <w14:schemeClr w14:val="tx1"/>
                  </w14:solidFill>
                </w14:textFill>
              </w:rPr>
              <w:t>文件的商务条款</w:t>
            </w:r>
          </w:p>
        </w:tc>
        <w:tc>
          <w:tcPr>
            <w:tcW w:w="0" w:type="auto"/>
            <w:vAlign w:val="center"/>
          </w:tcPr>
          <w:p w14:paraId="5FB0224C">
            <w:pPr>
              <w:jc w:val="center"/>
              <w:rPr>
                <w:rFonts w:ascii="Calibri" w:hAnsi="Calibri"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偏离说明</w:t>
            </w:r>
          </w:p>
        </w:tc>
      </w:tr>
      <w:tr w14:paraId="793F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0" w:type="auto"/>
            <w:vAlign w:val="center"/>
          </w:tcPr>
          <w:p w14:paraId="4C1E94EF">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w:t>
            </w:r>
          </w:p>
        </w:tc>
        <w:tc>
          <w:tcPr>
            <w:tcW w:w="4501" w:type="dxa"/>
            <w:vAlign w:val="center"/>
          </w:tcPr>
          <w:p w14:paraId="39599A0D">
            <w:pPr>
              <w:shd w:val="clear" w:color="auto" w:fill="FFFFFF"/>
              <w:spacing w:line="400" w:lineRule="exact"/>
              <w:jc w:val="left"/>
              <w:rPr>
                <w:rFonts w:ascii="宋体" w:hAnsi="宋体" w:eastAsia="宋体" w:cs="宋体"/>
                <w:color w:val="000000" w:themeColor="text1"/>
                <w:sz w:val="24"/>
                <w:szCs w:val="24"/>
                <w:highlight w:val="none"/>
                <w:shd w:val="clear" w:color="auto" w:fill="FFFFFF"/>
                <w14:textFill>
                  <w14:solidFill>
                    <w14:schemeClr w14:val="tx1"/>
                  </w14:solidFill>
                </w14:textFill>
              </w:rPr>
            </w:pPr>
          </w:p>
        </w:tc>
        <w:tc>
          <w:tcPr>
            <w:tcW w:w="3363" w:type="dxa"/>
          </w:tcPr>
          <w:p w14:paraId="17A32516">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0" w:type="auto"/>
          </w:tcPr>
          <w:p w14:paraId="57D97F1F">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r>
      <w:tr w14:paraId="4E64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46E73BA">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2</w:t>
            </w:r>
          </w:p>
        </w:tc>
        <w:tc>
          <w:tcPr>
            <w:tcW w:w="4501" w:type="dxa"/>
            <w:vAlign w:val="center"/>
          </w:tcPr>
          <w:p w14:paraId="5CCF3639">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p>
        </w:tc>
        <w:tc>
          <w:tcPr>
            <w:tcW w:w="3363" w:type="dxa"/>
          </w:tcPr>
          <w:p w14:paraId="45CA4449">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0" w:type="auto"/>
          </w:tcPr>
          <w:p w14:paraId="305D21C2">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r>
      <w:tr w14:paraId="3C88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772A37">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w:t>
            </w:r>
          </w:p>
        </w:tc>
        <w:tc>
          <w:tcPr>
            <w:tcW w:w="4501" w:type="dxa"/>
            <w:vAlign w:val="center"/>
          </w:tcPr>
          <w:p w14:paraId="4C13B130">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cs="宋体" w:asciiTheme="majorEastAsia" w:hAnsiTheme="majorEastAsia" w:eastAsiaTheme="majorEastAsia"/>
                <w:color w:val="000000" w:themeColor="text1"/>
                <w:sz w:val="24"/>
                <w:szCs w:val="24"/>
                <w:highlight w:val="none"/>
                <w14:textFill>
                  <w14:solidFill>
                    <w14:schemeClr w14:val="tx1"/>
                  </w14:solidFill>
                </w14:textFill>
              </w:rPr>
              <w:t>…（采购文件“第</w:t>
            </w:r>
            <w:r>
              <w:rPr>
                <w:rFonts w:hint="eastAsia" w:cs="宋体" w:asciiTheme="majorEastAsia" w:hAnsiTheme="majorEastAsia" w:eastAsiaTheme="majorEastAsia"/>
                <w:color w:val="000000" w:themeColor="text1"/>
                <w:sz w:val="24"/>
                <w:szCs w:val="24"/>
                <w:highlight w:val="none"/>
                <w14:textFill>
                  <w14:solidFill>
                    <w14:schemeClr w14:val="tx1"/>
                  </w14:solidFill>
                </w14:textFill>
              </w:rPr>
              <w:t>六</w:t>
            </w:r>
            <w:r>
              <w:rPr>
                <w:rFonts w:cs="宋体" w:asciiTheme="majorEastAsia" w:hAnsiTheme="majorEastAsia" w:eastAsiaTheme="majorEastAsia"/>
                <w:color w:val="000000" w:themeColor="text1"/>
                <w:sz w:val="24"/>
                <w:szCs w:val="24"/>
                <w:highlight w:val="none"/>
                <w14:textFill>
                  <w14:solidFill>
                    <w14:schemeClr w14:val="tx1"/>
                  </w14:solidFill>
                </w14:textFill>
              </w:rPr>
              <w:t>章</w:t>
            </w:r>
            <w:r>
              <w:rPr>
                <w:rFonts w:hint="eastAsia" w:cs="宋体" w:asciiTheme="majorEastAsia" w:hAnsiTheme="majorEastAsia" w:eastAsiaTheme="majorEastAsia"/>
                <w:color w:val="000000" w:themeColor="text1"/>
                <w:sz w:val="24"/>
                <w:szCs w:val="24"/>
                <w:highlight w:val="none"/>
                <w14:textFill>
                  <w14:solidFill>
                    <w14:schemeClr w14:val="tx1"/>
                  </w14:solidFill>
                </w14:textFill>
              </w:rPr>
              <w:t xml:space="preserve"> 项目需</w:t>
            </w:r>
            <w:r>
              <w:rPr>
                <w:rFonts w:cs="宋体" w:asciiTheme="majorEastAsia" w:hAnsiTheme="majorEastAsia" w:eastAsiaTheme="majorEastAsia"/>
                <w:color w:val="000000" w:themeColor="text1"/>
                <w:sz w:val="24"/>
                <w:szCs w:val="24"/>
                <w:highlight w:val="none"/>
                <w14:textFill>
                  <w14:solidFill>
                    <w14:schemeClr w14:val="tx1"/>
                  </w14:solidFill>
                </w14:textFill>
              </w:rPr>
              <w:t>求”中其他商务条款）</w:t>
            </w:r>
          </w:p>
        </w:tc>
        <w:tc>
          <w:tcPr>
            <w:tcW w:w="3363" w:type="dxa"/>
          </w:tcPr>
          <w:p w14:paraId="0DD0ED2D">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0" w:type="auto"/>
          </w:tcPr>
          <w:p w14:paraId="4FE76E41">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r>
      <w:tr w14:paraId="68E2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E6561A5">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w:t>
            </w:r>
          </w:p>
        </w:tc>
        <w:tc>
          <w:tcPr>
            <w:tcW w:w="4501" w:type="dxa"/>
            <w:vAlign w:val="center"/>
          </w:tcPr>
          <w:p w14:paraId="1BD3122D">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w:t>
            </w:r>
          </w:p>
        </w:tc>
        <w:tc>
          <w:tcPr>
            <w:tcW w:w="3363" w:type="dxa"/>
          </w:tcPr>
          <w:p w14:paraId="5E09D47C">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0" w:type="auto"/>
          </w:tcPr>
          <w:p w14:paraId="565AEE9B">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r>
      <w:tr w14:paraId="21F1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2E123B">
            <w:pPr>
              <w:spacing w:before="120" w:after="120" w:line="500" w:lineRule="exact"/>
              <w:jc w:val="center"/>
              <w:rPr>
                <w:rFonts w:ascii="宋体" w:hAnsi="宋体" w:eastAsia="宋体" w:cs="Times New Roman"/>
                <w:color w:val="000000" w:themeColor="text1"/>
                <w:sz w:val="24"/>
                <w:szCs w:val="21"/>
                <w:highlight w:val="none"/>
                <w14:textFill>
                  <w14:solidFill>
                    <w14:schemeClr w14:val="tx1"/>
                  </w14:solidFill>
                </w14:textFill>
              </w:rPr>
            </w:pPr>
          </w:p>
        </w:tc>
        <w:tc>
          <w:tcPr>
            <w:tcW w:w="4501" w:type="dxa"/>
          </w:tcPr>
          <w:p w14:paraId="4CA24B52">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3363" w:type="dxa"/>
          </w:tcPr>
          <w:p w14:paraId="2B1CA16B">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c>
          <w:tcPr>
            <w:tcW w:w="0" w:type="auto"/>
          </w:tcPr>
          <w:p w14:paraId="3E5869EB">
            <w:pPr>
              <w:spacing w:before="120" w:after="120" w:line="500" w:lineRule="exact"/>
              <w:rPr>
                <w:rFonts w:ascii="宋体" w:hAnsi="宋体" w:eastAsia="宋体" w:cs="Times New Roman"/>
                <w:color w:val="000000" w:themeColor="text1"/>
                <w:sz w:val="24"/>
                <w:szCs w:val="21"/>
                <w:highlight w:val="none"/>
                <w14:textFill>
                  <w14:solidFill>
                    <w14:schemeClr w14:val="tx1"/>
                  </w14:solidFill>
                </w14:textFill>
              </w:rPr>
            </w:pPr>
          </w:p>
        </w:tc>
      </w:tr>
    </w:tbl>
    <w:p w14:paraId="4ED96250">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注：</w:t>
      </w:r>
    </w:p>
    <w:p w14:paraId="57111FF1">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w:t>
      </w:r>
      <w:r>
        <w:rPr>
          <w:rFonts w:ascii="宋体" w:hAnsi="宋体" w:eastAsia="宋体" w:cs="Times New Roman"/>
          <w:color w:val="000000" w:themeColor="text1"/>
          <w:sz w:val="24"/>
          <w:szCs w:val="21"/>
          <w:highlight w:val="none"/>
          <w14:textFill>
            <w14:solidFill>
              <w14:schemeClr w14:val="tx1"/>
            </w14:solidFill>
          </w14:textFill>
        </w:rPr>
        <w:t>请逐条对应采购文件“项目需求” 等内容要求的商务条件， 填写该表。</w:t>
      </w:r>
    </w:p>
    <w:p w14:paraId="472EC0B7">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2.</w:t>
      </w:r>
      <w:r>
        <w:rPr>
          <w:rFonts w:ascii="宋体" w:hAnsi="宋体" w:eastAsia="宋体" w:cs="Times New Roman"/>
          <w:color w:val="000000" w:themeColor="text1"/>
          <w:sz w:val="24"/>
          <w:szCs w:val="21"/>
          <w:highlight w:val="none"/>
          <w14:textFill>
            <w14:solidFill>
              <w14:schemeClr w14:val="tx1"/>
            </w14:solidFill>
          </w14:textFill>
        </w:rPr>
        <w:t>“偏离” 填写“正偏离” “负偏离” 或“无偏离” 。</w:t>
      </w:r>
    </w:p>
    <w:p w14:paraId="31E3BEE0">
      <w:pPr>
        <w:rPr>
          <w:rFonts w:ascii="Calibri" w:hAnsi="Calibri" w:eastAsia="宋体" w:cs="Times New Roman"/>
          <w:color w:val="000000" w:themeColor="text1"/>
          <w:szCs w:val="24"/>
          <w:highlight w:val="none"/>
          <w14:textFill>
            <w14:solidFill>
              <w14:schemeClr w14:val="tx1"/>
            </w14:solidFill>
          </w14:textFill>
        </w:rPr>
      </w:pPr>
    </w:p>
    <w:p w14:paraId="6B1433D5">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投标人</w:t>
      </w:r>
      <w:r>
        <w:rPr>
          <w:rFonts w:ascii="宋体" w:hAnsi="宋体" w:eastAsia="宋体" w:cs="Times New Roman"/>
          <w:b/>
          <w:color w:val="000000" w:themeColor="text1"/>
          <w:sz w:val="24"/>
          <w:szCs w:val="21"/>
          <w:highlight w:val="none"/>
          <w14:textFill>
            <w14:solidFill>
              <w14:schemeClr w14:val="tx1"/>
            </w14:solidFill>
          </w14:textFill>
        </w:rPr>
        <w:t>（盖章）</w:t>
      </w:r>
      <w:r>
        <w:rPr>
          <w:rFonts w:ascii="宋体" w:hAnsi="宋体" w:eastAsia="宋体" w:cs="Times New Roman"/>
          <w:color w:val="000000" w:themeColor="text1"/>
          <w:sz w:val="24"/>
          <w:szCs w:val="21"/>
          <w:highlight w:val="none"/>
          <w14:textFill>
            <w14:solidFill>
              <w14:schemeClr w14:val="tx1"/>
            </w14:solidFill>
          </w14:textFill>
        </w:rPr>
        <w:t xml:space="preserve"> ：</w:t>
      </w:r>
    </w:p>
    <w:p w14:paraId="2E5615E0">
      <w:pPr>
        <w:rPr>
          <w:rFonts w:ascii="Calibri" w:hAnsi="Calibri" w:eastAsia="宋体" w:cs="Times New Roman"/>
          <w:color w:val="000000" w:themeColor="text1"/>
          <w:szCs w:val="24"/>
          <w:highlight w:val="none"/>
          <w14:textFill>
            <w14:solidFill>
              <w14:schemeClr w14:val="tx1"/>
            </w14:solidFill>
          </w14:textFill>
        </w:rPr>
      </w:pPr>
    </w:p>
    <w:p w14:paraId="2BBE5BCE">
      <w:pPr>
        <w:spacing w:before="120" w:after="120" w:line="500" w:lineRule="exact"/>
        <w:jc w:val="left"/>
        <w:rPr>
          <w:rFonts w:ascii="宋体" w:hAnsi="宋体" w:eastAsia="宋体" w:cs="Times New Roman"/>
          <w:b/>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法定代表人或委托代理人</w:t>
      </w:r>
      <w:r>
        <w:rPr>
          <w:rFonts w:ascii="宋体" w:hAnsi="宋体" w:eastAsia="宋体" w:cs="Times New Roman"/>
          <w:b/>
          <w:color w:val="000000" w:themeColor="text1"/>
          <w:sz w:val="24"/>
          <w:szCs w:val="21"/>
          <w:highlight w:val="none"/>
          <w14:textFill>
            <w14:solidFill>
              <w14:schemeClr w14:val="tx1"/>
            </w14:solidFill>
          </w14:textFill>
        </w:rPr>
        <w:t>（签字或盖章） ：</w:t>
      </w:r>
    </w:p>
    <w:p w14:paraId="3E427AD9">
      <w:pPr>
        <w:rPr>
          <w:rFonts w:ascii="Calibri" w:hAnsi="Calibri" w:eastAsia="宋体" w:cs="Times New Roman"/>
          <w:color w:val="000000" w:themeColor="text1"/>
          <w:szCs w:val="24"/>
          <w:highlight w:val="none"/>
          <w14:textFill>
            <w14:solidFill>
              <w14:schemeClr w14:val="tx1"/>
            </w14:solidFill>
          </w14:textFill>
        </w:rPr>
      </w:pPr>
    </w:p>
    <w:p w14:paraId="63F792A1">
      <w:pPr>
        <w:spacing w:before="120" w:after="120" w:line="500" w:lineRule="exact"/>
        <w:jc w:val="lef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日期： 年</w:t>
      </w:r>
      <w:r>
        <w:rPr>
          <w:rFonts w:hint="eastAsia" w:ascii="宋体" w:hAnsi="宋体" w:eastAsia="宋体" w:cs="Times New Roman"/>
          <w:color w:val="000000" w:themeColor="text1"/>
          <w:sz w:val="24"/>
          <w:szCs w:val="21"/>
          <w:highlight w:val="none"/>
          <w14:textFill>
            <w14:solidFill>
              <w14:schemeClr w14:val="tx1"/>
            </w14:solidFill>
          </w14:textFill>
        </w:rPr>
        <w:t xml:space="preserve">  </w:t>
      </w:r>
      <w:r>
        <w:rPr>
          <w:rFonts w:ascii="宋体" w:hAnsi="宋体" w:eastAsia="宋体" w:cs="Times New Roman"/>
          <w:color w:val="000000" w:themeColor="text1"/>
          <w:sz w:val="24"/>
          <w:szCs w:val="21"/>
          <w:highlight w:val="none"/>
          <w14:textFill>
            <w14:solidFill>
              <w14:schemeClr w14:val="tx1"/>
            </w14:solidFill>
          </w14:textFill>
        </w:rPr>
        <w:t xml:space="preserve"> 月 </w:t>
      </w:r>
      <w:r>
        <w:rPr>
          <w:rFonts w:hint="eastAsia" w:ascii="宋体" w:hAnsi="宋体" w:eastAsia="宋体" w:cs="Times New Roman"/>
          <w:color w:val="000000" w:themeColor="text1"/>
          <w:sz w:val="24"/>
          <w:szCs w:val="21"/>
          <w:highlight w:val="none"/>
          <w14:textFill>
            <w14:solidFill>
              <w14:schemeClr w14:val="tx1"/>
            </w14:solidFill>
          </w14:textFill>
        </w:rPr>
        <w:t xml:space="preserve">  </w:t>
      </w:r>
      <w:r>
        <w:rPr>
          <w:rFonts w:ascii="宋体" w:hAnsi="宋体" w:eastAsia="宋体" w:cs="Times New Roman"/>
          <w:color w:val="000000" w:themeColor="text1"/>
          <w:sz w:val="24"/>
          <w:szCs w:val="21"/>
          <w:highlight w:val="none"/>
          <w14:textFill>
            <w14:solidFill>
              <w14:schemeClr w14:val="tx1"/>
            </w14:solidFill>
          </w14:textFill>
        </w:rPr>
        <w:t>日</w:t>
      </w:r>
    </w:p>
    <w:p w14:paraId="0714AE42">
      <w:pPr>
        <w:widowControl/>
        <w:spacing w:line="360" w:lineRule="auto"/>
        <w:ind w:firstLine="2715"/>
        <w:rPr>
          <w:rFonts w:ascii="宋体" w:hAnsi="宋体" w:eastAsia="宋体" w:cs="Times New Roman"/>
          <w:b/>
          <w:color w:val="000000" w:themeColor="text1"/>
          <w:sz w:val="32"/>
          <w:szCs w:val="32"/>
          <w:highlight w:val="none"/>
          <w14:textFill>
            <w14:solidFill>
              <w14:schemeClr w14:val="tx1"/>
            </w14:solidFill>
          </w14:textFill>
        </w:rPr>
      </w:pPr>
    </w:p>
    <w:p w14:paraId="32CC2D1A">
      <w:pPr>
        <w:widowControl/>
        <w:spacing w:line="360" w:lineRule="auto"/>
        <w:ind w:firstLine="2715"/>
        <w:rPr>
          <w:rFonts w:ascii="宋体" w:hAnsi="宋体" w:eastAsia="宋体" w:cs="Times New Roman"/>
          <w:b/>
          <w:color w:val="000000" w:themeColor="text1"/>
          <w:sz w:val="32"/>
          <w:szCs w:val="32"/>
          <w:highlight w:val="none"/>
          <w14:textFill>
            <w14:solidFill>
              <w14:schemeClr w14:val="tx1"/>
            </w14:solidFill>
          </w14:textFill>
        </w:rPr>
      </w:pPr>
    </w:p>
    <w:p w14:paraId="1D19E83B">
      <w:pPr>
        <w:widowControl/>
        <w:spacing w:line="360" w:lineRule="auto"/>
        <w:ind w:firstLine="2715"/>
        <w:rPr>
          <w:rFonts w:ascii="宋体" w:hAnsi="宋体" w:eastAsia="宋体" w:cs="Times New Roman"/>
          <w:b/>
          <w:color w:val="000000" w:themeColor="text1"/>
          <w:sz w:val="32"/>
          <w:szCs w:val="32"/>
          <w:highlight w:val="none"/>
          <w14:textFill>
            <w14:solidFill>
              <w14:schemeClr w14:val="tx1"/>
            </w14:solidFill>
          </w14:textFill>
        </w:rPr>
      </w:pPr>
    </w:p>
    <w:p w14:paraId="2858297F">
      <w:pPr>
        <w:widowControl/>
        <w:spacing w:line="360" w:lineRule="auto"/>
        <w:rPr>
          <w:rFonts w:ascii="宋体" w:hAnsi="宋体" w:eastAsia="宋体" w:cs="Times New Roman"/>
          <w:b/>
          <w:color w:val="000000" w:themeColor="text1"/>
          <w:sz w:val="32"/>
          <w:szCs w:val="32"/>
          <w:highlight w:val="none"/>
          <w14:textFill>
            <w14:solidFill>
              <w14:schemeClr w14:val="tx1"/>
            </w14:solidFill>
          </w14:textFill>
        </w:rPr>
      </w:pPr>
    </w:p>
    <w:p w14:paraId="1C2B2F1D">
      <w:pPr>
        <w:widowControl/>
        <w:spacing w:line="360" w:lineRule="auto"/>
        <w:ind w:firstLine="2393"/>
        <w:rPr>
          <w:rFonts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Times New Roman"/>
          <w:b/>
          <w:color w:val="000000" w:themeColor="text1"/>
          <w:sz w:val="32"/>
          <w:szCs w:val="32"/>
          <w:highlight w:val="none"/>
          <w14:textFill>
            <w14:solidFill>
              <w14:schemeClr w14:val="tx1"/>
            </w14:solidFill>
          </w14:textFill>
        </w:rPr>
        <w:t>6、已标价工程量清单</w:t>
      </w:r>
    </w:p>
    <w:p w14:paraId="22101575">
      <w:pPr>
        <w:widowControl/>
        <w:jc w:val="left"/>
        <w:textAlignment w:val="center"/>
        <w:rPr>
          <w:rFonts w:ascii="Times New Roman" w:hAnsi="Times New Roman" w:cs="Times New Roman"/>
          <w:color w:val="000000" w:themeColor="text1"/>
          <w:szCs w:val="21"/>
          <w:highlight w:val="none"/>
          <w14:textFill>
            <w14:solidFill>
              <w14:schemeClr w14:val="tx1"/>
            </w14:solidFill>
          </w14:textFill>
        </w:rPr>
      </w:pPr>
    </w:p>
    <w:tbl>
      <w:tblPr>
        <w:tblStyle w:val="51"/>
        <w:tblW w:w="0" w:type="auto"/>
        <w:tblInd w:w="113" w:type="dxa"/>
        <w:tblLayout w:type="fixed"/>
        <w:tblCellMar>
          <w:top w:w="0" w:type="dxa"/>
          <w:left w:w="108" w:type="dxa"/>
          <w:bottom w:w="0" w:type="dxa"/>
          <w:right w:w="108" w:type="dxa"/>
        </w:tblCellMar>
      </w:tblPr>
      <w:tblGrid>
        <w:gridCol w:w="704"/>
        <w:gridCol w:w="1276"/>
        <w:gridCol w:w="2410"/>
        <w:gridCol w:w="850"/>
        <w:gridCol w:w="992"/>
        <w:gridCol w:w="1134"/>
        <w:gridCol w:w="883"/>
        <w:gridCol w:w="868"/>
      </w:tblGrid>
      <w:tr w14:paraId="52534D8C">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4C8F987A">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序号</w:t>
            </w:r>
          </w:p>
        </w:tc>
        <w:tc>
          <w:tcPr>
            <w:tcW w:w="1276" w:type="dxa"/>
            <w:tcBorders>
              <w:top w:val="single" w:color="auto" w:sz="4" w:space="0"/>
              <w:left w:val="nil"/>
              <w:bottom w:val="single" w:color="auto" w:sz="4" w:space="0"/>
              <w:right w:val="single" w:color="auto" w:sz="4" w:space="0"/>
            </w:tcBorders>
            <w:noWrap/>
            <w:vAlign w:val="center"/>
          </w:tcPr>
          <w:p w14:paraId="2E7213A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项目名称</w:t>
            </w:r>
          </w:p>
        </w:tc>
        <w:tc>
          <w:tcPr>
            <w:tcW w:w="2410" w:type="dxa"/>
            <w:tcBorders>
              <w:top w:val="single" w:color="auto" w:sz="4" w:space="0"/>
              <w:left w:val="nil"/>
              <w:bottom w:val="single" w:color="auto" w:sz="4" w:space="0"/>
              <w:right w:val="single" w:color="auto" w:sz="4" w:space="0"/>
            </w:tcBorders>
            <w:noWrap/>
            <w:vAlign w:val="center"/>
          </w:tcPr>
          <w:p w14:paraId="171D1CA4">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项目特征</w:t>
            </w:r>
            <w:r>
              <w:rPr>
                <w:rFonts w:ascii="Times New Roman" w:hAnsi="Times New Roman" w:eastAsia="宋体" w:cs="Times New Roman"/>
                <w:b/>
                <w:bCs/>
                <w:color w:val="000000" w:themeColor="text1"/>
                <w:kern w:val="0"/>
                <w:szCs w:val="21"/>
                <w:highlight w:val="none"/>
                <w14:textFill>
                  <w14:solidFill>
                    <w14:schemeClr w14:val="tx1"/>
                  </w14:solidFill>
                </w14:textFill>
              </w:rPr>
              <w:t>(</w:t>
            </w:r>
            <w:r>
              <w:rPr>
                <w:rFonts w:ascii="Times New Roman" w:hAnsi="宋体" w:eastAsia="宋体" w:cs="Times New Roman"/>
                <w:b/>
                <w:bCs/>
                <w:color w:val="000000" w:themeColor="text1"/>
                <w:kern w:val="0"/>
                <w:szCs w:val="21"/>
                <w:highlight w:val="none"/>
                <w14:textFill>
                  <w14:solidFill>
                    <w14:schemeClr w14:val="tx1"/>
                  </w14:solidFill>
                </w14:textFill>
              </w:rPr>
              <w:t>含规格、型号等</w:t>
            </w:r>
          </w:p>
        </w:tc>
        <w:tc>
          <w:tcPr>
            <w:tcW w:w="850" w:type="dxa"/>
            <w:tcBorders>
              <w:top w:val="single" w:color="auto" w:sz="4" w:space="0"/>
              <w:left w:val="nil"/>
              <w:bottom w:val="single" w:color="auto" w:sz="4" w:space="0"/>
              <w:right w:val="single" w:color="auto" w:sz="4" w:space="0"/>
            </w:tcBorders>
            <w:noWrap/>
            <w:vAlign w:val="center"/>
          </w:tcPr>
          <w:p w14:paraId="289DD412">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单位</w:t>
            </w:r>
          </w:p>
        </w:tc>
        <w:tc>
          <w:tcPr>
            <w:tcW w:w="992" w:type="dxa"/>
            <w:tcBorders>
              <w:top w:val="single" w:color="auto" w:sz="4" w:space="0"/>
              <w:left w:val="nil"/>
              <w:bottom w:val="single" w:color="auto" w:sz="4" w:space="0"/>
              <w:right w:val="single" w:color="auto" w:sz="4" w:space="0"/>
            </w:tcBorders>
            <w:noWrap/>
            <w:vAlign w:val="center"/>
          </w:tcPr>
          <w:p w14:paraId="1BDA162D">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工程量</w:t>
            </w:r>
          </w:p>
        </w:tc>
        <w:tc>
          <w:tcPr>
            <w:tcW w:w="1134" w:type="dxa"/>
            <w:tcBorders>
              <w:top w:val="single" w:color="auto" w:sz="4" w:space="0"/>
              <w:left w:val="nil"/>
              <w:bottom w:val="single" w:color="auto" w:sz="4" w:space="0"/>
              <w:right w:val="single" w:color="auto" w:sz="4" w:space="0"/>
            </w:tcBorders>
            <w:noWrap/>
            <w:vAlign w:val="center"/>
          </w:tcPr>
          <w:p w14:paraId="42F654FA">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全费用单价（元）</w:t>
            </w:r>
          </w:p>
        </w:tc>
        <w:tc>
          <w:tcPr>
            <w:tcW w:w="883" w:type="dxa"/>
            <w:tcBorders>
              <w:top w:val="single" w:color="auto" w:sz="4" w:space="0"/>
              <w:left w:val="nil"/>
              <w:bottom w:val="single" w:color="auto" w:sz="4" w:space="0"/>
              <w:right w:val="single" w:color="auto" w:sz="4" w:space="0"/>
            </w:tcBorders>
            <w:noWrap/>
            <w:vAlign w:val="center"/>
          </w:tcPr>
          <w:p w14:paraId="10B8377A">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合计（元）</w:t>
            </w:r>
          </w:p>
        </w:tc>
        <w:tc>
          <w:tcPr>
            <w:tcW w:w="868" w:type="dxa"/>
            <w:tcBorders>
              <w:top w:val="single" w:color="auto" w:sz="4" w:space="0"/>
              <w:left w:val="nil"/>
              <w:bottom w:val="single" w:color="auto" w:sz="4" w:space="0"/>
              <w:right w:val="single" w:color="auto" w:sz="4" w:space="0"/>
            </w:tcBorders>
            <w:noWrap/>
            <w:vAlign w:val="center"/>
          </w:tcPr>
          <w:p w14:paraId="18CDAC9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备注</w:t>
            </w:r>
          </w:p>
        </w:tc>
      </w:tr>
      <w:tr w14:paraId="3CFAE538">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269A11E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一</w:t>
            </w:r>
          </w:p>
        </w:tc>
        <w:tc>
          <w:tcPr>
            <w:tcW w:w="1276" w:type="dxa"/>
            <w:tcBorders>
              <w:top w:val="nil"/>
              <w:left w:val="nil"/>
              <w:bottom w:val="single" w:color="auto" w:sz="4" w:space="0"/>
              <w:right w:val="single" w:color="auto" w:sz="4" w:space="0"/>
            </w:tcBorders>
            <w:vAlign w:val="center"/>
          </w:tcPr>
          <w:p w14:paraId="034499D2">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站控层设备</w:t>
            </w:r>
          </w:p>
        </w:tc>
        <w:tc>
          <w:tcPr>
            <w:tcW w:w="2410" w:type="dxa"/>
            <w:tcBorders>
              <w:top w:val="nil"/>
              <w:left w:val="nil"/>
              <w:bottom w:val="single" w:color="auto" w:sz="4" w:space="0"/>
              <w:right w:val="single" w:color="auto" w:sz="4" w:space="0"/>
            </w:tcBorders>
            <w:vAlign w:val="center"/>
          </w:tcPr>
          <w:p w14:paraId="4E5479C5">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5CBE2AAB">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6F96D1CA">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38A11539">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7525FBA4">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1B78F5D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r>
      <w:tr w14:paraId="56A06404">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3099B83B">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vAlign w:val="center"/>
          </w:tcPr>
          <w:p w14:paraId="0001A01D">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站内自动化控制</w:t>
            </w:r>
          </w:p>
        </w:tc>
        <w:tc>
          <w:tcPr>
            <w:tcW w:w="2410" w:type="dxa"/>
            <w:tcBorders>
              <w:top w:val="nil"/>
              <w:left w:val="nil"/>
              <w:bottom w:val="single" w:color="auto" w:sz="4" w:space="0"/>
              <w:right w:val="single" w:color="auto" w:sz="4" w:space="0"/>
            </w:tcBorders>
            <w:vAlign w:val="center"/>
          </w:tcPr>
          <w:p w14:paraId="3D96661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0B3AF69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70D3D9B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05C89B1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41C24E8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CBCE99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C2A7ECF">
        <w:tblPrEx>
          <w:tblCellMar>
            <w:top w:w="0" w:type="dxa"/>
            <w:left w:w="108" w:type="dxa"/>
            <w:bottom w:w="0" w:type="dxa"/>
            <w:right w:w="108" w:type="dxa"/>
          </w:tblCellMar>
        </w:tblPrEx>
        <w:trPr>
          <w:cantSplit/>
          <w:trHeight w:val="136" w:hRule="atLeast"/>
        </w:trPr>
        <w:tc>
          <w:tcPr>
            <w:tcW w:w="704" w:type="dxa"/>
            <w:tcBorders>
              <w:top w:val="single" w:color="auto" w:sz="4" w:space="0"/>
              <w:left w:val="single" w:color="auto" w:sz="4" w:space="0"/>
              <w:bottom w:val="single" w:color="auto" w:sz="4" w:space="0"/>
              <w:right w:val="single" w:color="auto" w:sz="4" w:space="0"/>
            </w:tcBorders>
            <w:vAlign w:val="center"/>
          </w:tcPr>
          <w:p w14:paraId="015A009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53E2CE7A">
            <w:pPr>
              <w:widowControl/>
              <w:wordWrap w:val="0"/>
              <w:spacing w:line="240" w:lineRule="atLeast"/>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工控机</w:t>
            </w:r>
          </w:p>
        </w:tc>
        <w:tc>
          <w:tcPr>
            <w:tcW w:w="2410" w:type="dxa"/>
            <w:tcBorders>
              <w:top w:val="single" w:color="auto" w:sz="4" w:space="0"/>
              <w:left w:val="nil"/>
              <w:bottom w:val="single" w:color="auto" w:sz="4" w:space="0"/>
              <w:right w:val="single" w:color="auto" w:sz="4" w:space="0"/>
            </w:tcBorders>
            <w:vAlign w:val="center"/>
          </w:tcPr>
          <w:p w14:paraId="0BC2BB1A">
            <w:pPr>
              <w:wordWrap w:val="0"/>
              <w:adjustRightInd w:val="0"/>
              <w:snapToGrid w:val="0"/>
              <w:spacing w:line="240" w:lineRule="atLeast"/>
              <w:outlineLvl w:val="2"/>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300W\双通道(Non-ECC) DDR41866/2133MHz</w:t>
            </w:r>
            <w:r>
              <w:rPr>
                <w:rFonts w:hint="eastAsia" w:ascii="Times New Roman" w:hAnsi="Times New Roman" w:eastAsia="宋体" w:cs="Times New Roman"/>
                <w:color w:val="000000" w:themeColor="text1"/>
                <w:kern w:val="0"/>
                <w:szCs w:val="21"/>
                <w:highlight w:val="none"/>
                <w14:textFill>
                  <w14:solidFill>
                    <w14:schemeClr w14:val="tx1"/>
                  </w14:solidFill>
                </w14:textFill>
              </w:rPr>
              <w:t xml:space="preserve"> </w:t>
            </w:r>
            <w:r>
              <w:rPr>
                <w:rFonts w:ascii="Times New Roman" w:hAnsi="Times New Roman" w:eastAsia="宋体" w:cs="Times New Roman"/>
                <w:color w:val="000000" w:themeColor="text1"/>
                <w:kern w:val="0"/>
                <w:szCs w:val="21"/>
                <w:highlight w:val="none"/>
                <w14:textFill>
                  <w14:solidFill>
                    <w14:schemeClr w14:val="tx1"/>
                  </w14:solidFill>
                </w14:textFill>
              </w:rPr>
              <w:t>高达32GB(16GBper DIMM)，2</w:t>
            </w:r>
            <w:r>
              <w:rPr>
                <w:rFonts w:hint="eastAsia"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太网接口 10/100/1000 Mbps</w:t>
            </w:r>
            <w:r>
              <w:rPr>
                <w:rFonts w:hint="eastAsia"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4通道SATA 600MB/s，1</w:t>
            </w:r>
            <w:r>
              <w:rPr>
                <w:rFonts w:hint="eastAsia"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CIe x16 (Gen3)和1</w:t>
            </w:r>
            <w:r>
              <w:rPr>
                <w:rFonts w:hint="eastAsia"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CIe x4 (Gen2)和5</w:t>
            </w:r>
            <w:r>
              <w:rPr>
                <w:rFonts w:hint="eastAsia"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CI扩展槽\I7 4核 3.6GHz，up to 4.2GHz，内置HD 630核显\16G\≥512SSD固态硬盘，4T机械硬盘\USB键鼠\DVD\2*千兆网口\32寸显示器\含Windows 2012 server 中文标准版，配套报表输出设备。</w:t>
            </w:r>
          </w:p>
        </w:tc>
        <w:tc>
          <w:tcPr>
            <w:tcW w:w="850" w:type="dxa"/>
            <w:tcBorders>
              <w:top w:val="single" w:color="auto" w:sz="4" w:space="0"/>
              <w:left w:val="nil"/>
              <w:bottom w:val="single" w:color="auto" w:sz="4" w:space="0"/>
              <w:right w:val="single" w:color="auto" w:sz="4" w:space="0"/>
            </w:tcBorders>
            <w:vAlign w:val="center"/>
          </w:tcPr>
          <w:p w14:paraId="63519B9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7404AF7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4A6C898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209F4D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49232D7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4BE3D816">
        <w:tblPrEx>
          <w:tblCellMar>
            <w:top w:w="0" w:type="dxa"/>
            <w:left w:w="108" w:type="dxa"/>
            <w:bottom w:w="0" w:type="dxa"/>
            <w:right w:w="108" w:type="dxa"/>
          </w:tblCellMar>
        </w:tblPrEx>
        <w:trPr>
          <w:cantSplit/>
          <w:trHeight w:val="531" w:hRule="atLeast"/>
        </w:trPr>
        <w:tc>
          <w:tcPr>
            <w:tcW w:w="704" w:type="dxa"/>
            <w:tcBorders>
              <w:top w:val="single" w:color="auto" w:sz="4" w:space="0"/>
              <w:left w:val="single" w:color="auto" w:sz="4" w:space="0"/>
              <w:bottom w:val="single" w:color="auto" w:sz="4" w:space="0"/>
              <w:right w:val="single" w:color="auto" w:sz="4" w:space="0"/>
            </w:tcBorders>
            <w:vAlign w:val="center"/>
          </w:tcPr>
          <w:p w14:paraId="6E57515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276" w:type="dxa"/>
            <w:tcBorders>
              <w:top w:val="single" w:color="auto" w:sz="4" w:space="0"/>
              <w:left w:val="nil"/>
              <w:bottom w:val="single" w:color="auto" w:sz="4" w:space="0"/>
              <w:right w:val="single" w:color="auto" w:sz="4" w:space="0"/>
            </w:tcBorders>
            <w:vAlign w:val="center"/>
          </w:tcPr>
          <w:p w14:paraId="40529F3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数据库开发</w:t>
            </w:r>
          </w:p>
        </w:tc>
        <w:tc>
          <w:tcPr>
            <w:tcW w:w="2410" w:type="dxa"/>
            <w:tcBorders>
              <w:top w:val="single" w:color="auto" w:sz="4" w:space="0"/>
              <w:left w:val="nil"/>
              <w:bottom w:val="single" w:color="auto" w:sz="4" w:space="0"/>
              <w:right w:val="single" w:color="auto" w:sz="4" w:space="0"/>
            </w:tcBorders>
            <w:vAlign w:val="center"/>
          </w:tcPr>
          <w:p w14:paraId="30AB062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自研，标准数据库格式。</w:t>
            </w:r>
          </w:p>
        </w:tc>
        <w:tc>
          <w:tcPr>
            <w:tcW w:w="850" w:type="dxa"/>
            <w:tcBorders>
              <w:top w:val="single" w:color="auto" w:sz="4" w:space="0"/>
              <w:left w:val="nil"/>
              <w:bottom w:val="single" w:color="auto" w:sz="4" w:space="0"/>
              <w:right w:val="single" w:color="auto" w:sz="4" w:space="0"/>
            </w:tcBorders>
            <w:vAlign w:val="center"/>
          </w:tcPr>
          <w:p w14:paraId="3D4F7F5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vAlign w:val="center"/>
          </w:tcPr>
          <w:p w14:paraId="60109F9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4495739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34E2BE6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5A4A3AC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58BE09F0">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vAlign w:val="center"/>
          </w:tcPr>
          <w:p w14:paraId="51260D6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4E4236D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上位机组态定制开发</w:t>
            </w:r>
          </w:p>
        </w:tc>
        <w:tc>
          <w:tcPr>
            <w:tcW w:w="2410" w:type="dxa"/>
            <w:tcBorders>
              <w:top w:val="nil"/>
              <w:left w:val="nil"/>
              <w:bottom w:val="single" w:color="auto" w:sz="4" w:space="0"/>
              <w:right w:val="single" w:color="auto" w:sz="4" w:space="0"/>
            </w:tcBorders>
            <w:vAlign w:val="center"/>
          </w:tcPr>
          <w:p w14:paraId="42CA3568">
            <w:pPr>
              <w:widowControl/>
              <w:spacing w:line="240" w:lineRule="atLeast"/>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自研，含控制功能、报警制开发功能、实时运行报表、历史报表、曲线等。</w:t>
            </w:r>
          </w:p>
        </w:tc>
        <w:tc>
          <w:tcPr>
            <w:tcW w:w="850" w:type="dxa"/>
            <w:tcBorders>
              <w:top w:val="nil"/>
              <w:left w:val="nil"/>
              <w:bottom w:val="single" w:color="auto" w:sz="4" w:space="0"/>
              <w:right w:val="single" w:color="auto" w:sz="4" w:space="0"/>
            </w:tcBorders>
            <w:vAlign w:val="center"/>
          </w:tcPr>
          <w:p w14:paraId="734F012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631B009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18F46AD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07F9C7A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4520500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CE71DC2">
        <w:tblPrEx>
          <w:tblCellMar>
            <w:top w:w="0" w:type="dxa"/>
            <w:left w:w="108" w:type="dxa"/>
            <w:bottom w:w="0" w:type="dxa"/>
            <w:right w:w="108" w:type="dxa"/>
          </w:tblCellMar>
        </w:tblPrEx>
        <w:trPr>
          <w:cantSplit/>
          <w:trHeight w:val="280" w:hRule="atLeast"/>
        </w:trPr>
        <w:tc>
          <w:tcPr>
            <w:tcW w:w="704" w:type="dxa"/>
            <w:tcBorders>
              <w:top w:val="nil"/>
              <w:left w:val="single" w:color="auto" w:sz="4" w:space="0"/>
              <w:bottom w:val="single" w:color="auto" w:sz="4" w:space="0"/>
              <w:right w:val="single" w:color="auto" w:sz="4" w:space="0"/>
            </w:tcBorders>
            <w:vAlign w:val="center"/>
          </w:tcPr>
          <w:p w14:paraId="4801ED5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79C83DE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PLC</w:t>
            </w:r>
            <w:r>
              <w:rPr>
                <w:rFonts w:ascii="Times New Roman" w:hAnsi="宋体" w:eastAsia="宋体" w:cs="Times New Roman"/>
                <w:color w:val="000000" w:themeColor="text1"/>
                <w:kern w:val="0"/>
                <w:szCs w:val="21"/>
                <w:highlight w:val="none"/>
                <w14:textFill>
                  <w14:solidFill>
                    <w14:schemeClr w14:val="tx1"/>
                  </w14:solidFill>
                </w14:textFill>
              </w:rPr>
              <w:t>及触摸屏程序开发</w:t>
            </w:r>
          </w:p>
        </w:tc>
        <w:tc>
          <w:tcPr>
            <w:tcW w:w="2410" w:type="dxa"/>
            <w:tcBorders>
              <w:top w:val="nil"/>
              <w:left w:val="nil"/>
              <w:bottom w:val="single" w:color="auto" w:sz="4" w:space="0"/>
              <w:right w:val="single" w:color="auto" w:sz="4" w:space="0"/>
            </w:tcBorders>
            <w:vAlign w:val="center"/>
          </w:tcPr>
          <w:p w14:paraId="78E9493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自研</w:t>
            </w:r>
          </w:p>
        </w:tc>
        <w:tc>
          <w:tcPr>
            <w:tcW w:w="850" w:type="dxa"/>
            <w:tcBorders>
              <w:top w:val="nil"/>
              <w:left w:val="nil"/>
              <w:bottom w:val="single" w:color="auto" w:sz="4" w:space="0"/>
              <w:right w:val="single" w:color="auto" w:sz="4" w:space="0"/>
            </w:tcBorders>
            <w:vAlign w:val="center"/>
          </w:tcPr>
          <w:p w14:paraId="1B50562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22C8917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5E2C425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6DB630C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895336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4D2439C">
        <w:tblPrEx>
          <w:tblCellMar>
            <w:top w:w="0" w:type="dxa"/>
            <w:left w:w="108" w:type="dxa"/>
            <w:bottom w:w="0" w:type="dxa"/>
            <w:right w:w="108" w:type="dxa"/>
          </w:tblCellMar>
        </w:tblPrEx>
        <w:trPr>
          <w:cantSplit/>
          <w:trHeight w:val="1400" w:hRule="atLeast"/>
        </w:trPr>
        <w:tc>
          <w:tcPr>
            <w:tcW w:w="704" w:type="dxa"/>
            <w:tcBorders>
              <w:top w:val="nil"/>
              <w:left w:val="single" w:color="auto" w:sz="4" w:space="0"/>
              <w:bottom w:val="single" w:color="auto" w:sz="4" w:space="0"/>
              <w:right w:val="single" w:color="auto" w:sz="4" w:space="0"/>
            </w:tcBorders>
            <w:vAlign w:val="center"/>
          </w:tcPr>
          <w:p w14:paraId="11CA8C0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r>
              <w:rPr>
                <w:rFonts w:ascii="Times New Roman" w:hAnsi="Times New Roman" w:eastAsia="宋体" w:cs="Times New Roman"/>
                <w:color w:val="000000" w:themeColor="text1"/>
                <w:kern w:val="0"/>
                <w:szCs w:val="21"/>
                <w:highlight w:val="none"/>
                <w14:textFill>
                  <w14:solidFill>
                    <w14:schemeClr w14:val="tx1"/>
                  </w14:solidFill>
                </w14:textFill>
              </w:rPr>
              <w:t>(5)</w:t>
            </w:r>
          </w:p>
        </w:tc>
        <w:tc>
          <w:tcPr>
            <w:tcW w:w="1276" w:type="dxa"/>
            <w:tcBorders>
              <w:top w:val="nil"/>
              <w:left w:val="nil"/>
              <w:bottom w:val="single" w:color="auto" w:sz="4" w:space="0"/>
              <w:right w:val="single" w:color="auto" w:sz="4" w:space="0"/>
            </w:tcBorders>
            <w:vAlign w:val="center"/>
          </w:tcPr>
          <w:p w14:paraId="1B821EF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PLC</w:t>
            </w:r>
            <w:r>
              <w:rPr>
                <w:rFonts w:ascii="Times New Roman" w:hAnsi="宋体" w:eastAsia="宋体" w:cs="Times New Roman"/>
                <w:color w:val="000000" w:themeColor="text1"/>
                <w:kern w:val="0"/>
                <w:szCs w:val="21"/>
                <w:highlight w:val="none"/>
                <w14:textFill>
                  <w14:solidFill>
                    <w14:schemeClr w14:val="tx1"/>
                  </w14:solidFill>
                </w14:textFill>
              </w:rPr>
              <w:t>柜</w:t>
            </w:r>
          </w:p>
        </w:tc>
        <w:tc>
          <w:tcPr>
            <w:tcW w:w="2410" w:type="dxa"/>
            <w:tcBorders>
              <w:top w:val="nil"/>
              <w:left w:val="nil"/>
              <w:bottom w:val="single" w:color="auto" w:sz="4" w:space="0"/>
              <w:right w:val="single" w:color="auto" w:sz="4" w:space="0"/>
            </w:tcBorders>
            <w:vAlign w:val="center"/>
          </w:tcPr>
          <w:p w14:paraId="3B20CEC0">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含</w:t>
            </w:r>
            <w:r>
              <w:rPr>
                <w:rFonts w:ascii="Times New Roman" w:hAnsi="Times New Roman" w:eastAsia="宋体" w:cs="Times New Roman"/>
                <w:color w:val="000000" w:themeColor="text1"/>
                <w:kern w:val="0"/>
                <w:szCs w:val="21"/>
                <w:highlight w:val="none"/>
                <w14:textFill>
                  <w14:solidFill>
                    <w14:schemeClr w14:val="tx1"/>
                  </w14:solidFill>
                </w14:textFill>
              </w:rPr>
              <w:t>PLC</w:t>
            </w:r>
            <w:r>
              <w:rPr>
                <w:rFonts w:ascii="Times New Roman" w:hAnsi="宋体" w:eastAsia="宋体" w:cs="Times New Roman"/>
                <w:color w:val="000000" w:themeColor="text1"/>
                <w:kern w:val="0"/>
                <w:szCs w:val="21"/>
                <w:highlight w:val="none"/>
                <w14:textFill>
                  <w14:solidFill>
                    <w14:schemeClr w14:val="tx1"/>
                  </w14:solidFill>
                </w14:textFill>
              </w:rPr>
              <w:t>（自主可控</w:t>
            </w:r>
            <w:r>
              <w:rPr>
                <w:rFonts w:ascii="Times New Roman" w:hAnsi="Times New Roman" w:eastAsia="宋体" w:cs="Times New Roman"/>
                <w:color w:val="000000" w:themeColor="text1"/>
                <w:kern w:val="0"/>
                <w:szCs w:val="21"/>
                <w:highlight w:val="none"/>
                <w14:textFill>
                  <w14:solidFill>
                    <w14:schemeClr w14:val="tx1"/>
                  </w14:solidFill>
                </w14:textFill>
              </w:rPr>
              <w:t>CPU</w:t>
            </w:r>
            <w:r>
              <w:rPr>
                <w:rFonts w:ascii="Times New Roman" w:hAnsi="宋体" w:eastAsia="宋体" w:cs="Times New Roman"/>
                <w:color w:val="000000" w:themeColor="text1"/>
                <w:kern w:val="0"/>
                <w:szCs w:val="21"/>
                <w:highlight w:val="none"/>
                <w14:textFill>
                  <w14:solidFill>
                    <w14:schemeClr w14:val="tx1"/>
                  </w14:solidFill>
                </w14:textFill>
              </w:rPr>
              <w:t>，主频</w:t>
            </w:r>
            <w:r>
              <w:rPr>
                <w:rFonts w:ascii="Times New Roman" w:hAnsi="Times New Roman" w:eastAsia="宋体" w:cs="Times New Roman"/>
                <w:color w:val="000000" w:themeColor="text1"/>
                <w:kern w:val="0"/>
                <w:szCs w:val="21"/>
                <w:highlight w:val="none"/>
                <w14:textFill>
                  <w14:solidFill>
                    <w14:schemeClr w14:val="tx1"/>
                  </w14:solidFill>
                </w14:textFill>
              </w:rPr>
              <w:t>≥1GHz</w:t>
            </w:r>
            <w:r>
              <w:rPr>
                <w:rFonts w:ascii="Times New Roman" w:hAnsi="宋体" w:eastAsia="宋体" w:cs="Times New Roman"/>
                <w:color w:val="000000" w:themeColor="text1"/>
                <w:kern w:val="0"/>
                <w:szCs w:val="21"/>
                <w:highlight w:val="none"/>
                <w14:textFill>
                  <w14:solidFill>
                    <w14:schemeClr w14:val="tx1"/>
                  </w14:solidFill>
                </w14:textFill>
              </w:rPr>
              <w:t>，自带两路独立</w:t>
            </w:r>
            <w:r>
              <w:rPr>
                <w:rFonts w:ascii="Times New Roman" w:hAnsi="Times New Roman" w:eastAsia="宋体" w:cs="Times New Roman"/>
                <w:color w:val="000000" w:themeColor="text1"/>
                <w:kern w:val="0"/>
                <w:szCs w:val="21"/>
                <w:highlight w:val="none"/>
                <w14:textFill>
                  <w14:solidFill>
                    <w14:schemeClr w14:val="tx1"/>
                  </w14:solidFill>
                </w14:textFill>
              </w:rPr>
              <w:t>IP</w:t>
            </w:r>
            <w:r>
              <w:rPr>
                <w:rFonts w:ascii="Times New Roman" w:hAnsi="宋体" w:eastAsia="宋体" w:cs="Times New Roman"/>
                <w:color w:val="000000" w:themeColor="text1"/>
                <w:kern w:val="0"/>
                <w:szCs w:val="21"/>
                <w:highlight w:val="none"/>
                <w14:textFill>
                  <w14:solidFill>
                    <w14:schemeClr w14:val="tx1"/>
                  </w14:solidFill>
                </w14:textFill>
              </w:rPr>
              <w:t>以太网口，</w:t>
            </w:r>
            <w:r>
              <w:rPr>
                <w:rFonts w:ascii="Times New Roman" w:hAnsi="Times New Roman" w:eastAsia="宋体" w:cs="Times New Roman"/>
                <w:color w:val="000000" w:themeColor="text1"/>
                <w:kern w:val="0"/>
                <w:szCs w:val="21"/>
                <w:highlight w:val="none"/>
                <w14:textFill>
                  <w14:solidFill>
                    <w14:schemeClr w14:val="tx1"/>
                  </w14:solidFill>
                </w14:textFill>
              </w:rPr>
              <w:t>DI≥192</w:t>
            </w:r>
            <w:r>
              <w:rPr>
                <w:rFonts w:ascii="Times New Roman" w:hAnsi="宋体"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DO≥128</w:t>
            </w:r>
            <w:r>
              <w:rPr>
                <w:rFonts w:ascii="Times New Roman" w:hAnsi="宋体"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AI≥16</w:t>
            </w:r>
            <w:r>
              <w:rPr>
                <w:rFonts w:ascii="Times New Roman" w:hAnsi="宋体" w:eastAsia="宋体" w:cs="Times New Roman"/>
                <w:color w:val="000000" w:themeColor="text1"/>
                <w:kern w:val="0"/>
                <w:szCs w:val="21"/>
                <w:highlight w:val="none"/>
                <w14:textFill>
                  <w14:solidFill>
                    <w14:schemeClr w14:val="tx1"/>
                  </w14:solidFill>
                </w14:textFill>
              </w:rPr>
              <w:t>，配套底板等必须设备）、</w:t>
            </w:r>
            <w:r>
              <w:rPr>
                <w:rFonts w:ascii="Times New Roman" w:hAnsi="Times New Roman" w:eastAsia="宋体" w:cs="Times New Roman"/>
                <w:color w:val="000000" w:themeColor="text1"/>
                <w:kern w:val="0"/>
                <w:szCs w:val="21"/>
                <w:highlight w:val="none"/>
                <w14:textFill>
                  <w14:solidFill>
                    <w14:schemeClr w14:val="tx1"/>
                  </w14:solidFill>
                </w14:textFill>
              </w:rPr>
              <w:t>15</w:t>
            </w:r>
            <w:r>
              <w:rPr>
                <w:rFonts w:ascii="Times New Roman" w:hAnsi="宋体" w:eastAsia="宋体" w:cs="Times New Roman"/>
                <w:color w:val="000000" w:themeColor="text1"/>
                <w:kern w:val="0"/>
                <w:szCs w:val="21"/>
                <w:highlight w:val="none"/>
                <w14:textFill>
                  <w14:solidFill>
                    <w14:schemeClr w14:val="tx1"/>
                  </w14:solidFill>
                </w14:textFill>
              </w:rPr>
              <w:t>寸触摸屏、网络设备、继电器、空开、开关电源、端子排、照明、温湿度控制等。详见附表一：</w:t>
            </w:r>
            <w:r>
              <w:rPr>
                <w:rFonts w:ascii="Times New Roman" w:hAnsi="Times New Roman" w:eastAsia="宋体" w:cs="Times New Roman"/>
                <w:color w:val="000000" w:themeColor="text1"/>
                <w:kern w:val="0"/>
                <w:szCs w:val="21"/>
                <w:highlight w:val="none"/>
                <w14:textFill>
                  <w14:solidFill>
                    <w14:schemeClr w14:val="tx1"/>
                  </w14:solidFill>
                </w14:textFill>
              </w:rPr>
              <w:t>PLC</w:t>
            </w:r>
            <w:r>
              <w:rPr>
                <w:rFonts w:ascii="Times New Roman" w:hAnsi="宋体" w:eastAsia="宋体" w:cs="Times New Roman"/>
                <w:color w:val="000000" w:themeColor="text1"/>
                <w:kern w:val="0"/>
                <w:szCs w:val="21"/>
                <w:highlight w:val="none"/>
                <w14:textFill>
                  <w14:solidFill>
                    <w14:schemeClr w14:val="tx1"/>
                  </w14:solidFill>
                </w14:textFill>
              </w:rPr>
              <w:t>柜配置表</w:t>
            </w:r>
          </w:p>
        </w:tc>
        <w:tc>
          <w:tcPr>
            <w:tcW w:w="850" w:type="dxa"/>
            <w:tcBorders>
              <w:top w:val="nil"/>
              <w:left w:val="nil"/>
              <w:bottom w:val="single" w:color="auto" w:sz="4" w:space="0"/>
              <w:right w:val="single" w:color="auto" w:sz="4" w:space="0"/>
            </w:tcBorders>
            <w:vAlign w:val="center"/>
          </w:tcPr>
          <w:p w14:paraId="25670BA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vAlign w:val="center"/>
          </w:tcPr>
          <w:p w14:paraId="62A5236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2968EC4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2557619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4F760B4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p>
        </w:tc>
      </w:tr>
      <w:tr w14:paraId="418F85BD">
        <w:tblPrEx>
          <w:tblCellMar>
            <w:top w:w="0" w:type="dxa"/>
            <w:left w:w="108" w:type="dxa"/>
            <w:bottom w:w="0" w:type="dxa"/>
            <w:right w:w="108" w:type="dxa"/>
          </w:tblCellMar>
        </w:tblPrEx>
        <w:trPr>
          <w:cantSplit/>
          <w:trHeight w:val="363" w:hRule="atLeast"/>
        </w:trPr>
        <w:tc>
          <w:tcPr>
            <w:tcW w:w="704" w:type="dxa"/>
            <w:tcBorders>
              <w:top w:val="nil"/>
              <w:left w:val="single" w:color="auto" w:sz="4" w:space="0"/>
              <w:bottom w:val="single" w:color="auto" w:sz="4" w:space="0"/>
              <w:right w:val="single" w:color="auto" w:sz="4" w:space="0"/>
            </w:tcBorders>
            <w:vAlign w:val="center"/>
          </w:tcPr>
          <w:p w14:paraId="6F5DBAB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3BB8FF38">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站内通信柜</w:t>
            </w:r>
          </w:p>
        </w:tc>
        <w:tc>
          <w:tcPr>
            <w:tcW w:w="2410" w:type="dxa"/>
            <w:tcBorders>
              <w:top w:val="nil"/>
              <w:left w:val="nil"/>
              <w:bottom w:val="single" w:color="auto" w:sz="4" w:space="0"/>
              <w:right w:val="single" w:color="auto" w:sz="4" w:space="0"/>
            </w:tcBorders>
            <w:vAlign w:val="center"/>
          </w:tcPr>
          <w:p w14:paraId="3E552DE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51E330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62F85BB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752B339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5958769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center"/>
          </w:tcPr>
          <w:p w14:paraId="2490752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521CC923">
        <w:tblPrEx>
          <w:tblCellMar>
            <w:top w:w="0" w:type="dxa"/>
            <w:left w:w="108" w:type="dxa"/>
            <w:bottom w:w="0" w:type="dxa"/>
            <w:right w:w="108" w:type="dxa"/>
          </w:tblCellMar>
        </w:tblPrEx>
        <w:trPr>
          <w:cantSplit/>
          <w:trHeight w:val="942" w:hRule="atLeast"/>
        </w:trPr>
        <w:tc>
          <w:tcPr>
            <w:tcW w:w="704" w:type="dxa"/>
            <w:tcBorders>
              <w:top w:val="nil"/>
              <w:left w:val="single" w:color="auto" w:sz="4" w:space="0"/>
              <w:bottom w:val="single" w:color="auto" w:sz="4" w:space="0"/>
              <w:right w:val="single" w:color="auto" w:sz="4" w:space="0"/>
            </w:tcBorders>
            <w:vAlign w:val="center"/>
          </w:tcPr>
          <w:p w14:paraId="3A298EE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395CC77E">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通信管理机</w:t>
            </w:r>
          </w:p>
        </w:tc>
        <w:tc>
          <w:tcPr>
            <w:tcW w:w="2410" w:type="dxa"/>
            <w:tcBorders>
              <w:top w:val="nil"/>
              <w:left w:val="nil"/>
              <w:bottom w:val="single" w:color="auto" w:sz="4" w:space="0"/>
              <w:right w:val="single" w:color="auto" w:sz="4" w:space="0"/>
            </w:tcBorders>
            <w:vAlign w:val="center"/>
          </w:tcPr>
          <w:p w14:paraId="16D614DE">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16</w:t>
            </w:r>
            <w:r>
              <w:rPr>
                <w:rFonts w:ascii="Times New Roman" w:hAnsi="宋体" w:eastAsia="宋体" w:cs="Times New Roman"/>
                <w:color w:val="000000" w:themeColor="text1"/>
                <w:kern w:val="0"/>
                <w:szCs w:val="21"/>
                <w:highlight w:val="none"/>
                <w14:textFill>
                  <w14:solidFill>
                    <w14:schemeClr w14:val="tx1"/>
                  </w14:solidFill>
                </w14:textFill>
              </w:rPr>
              <w:t>路串口，</w:t>
            </w:r>
            <w:r>
              <w:rPr>
                <w:rFonts w:ascii="Times New Roman" w:hAnsi="Times New Roman" w:eastAsia="宋体" w:cs="Times New Roman"/>
                <w:color w:val="000000" w:themeColor="text1"/>
                <w:kern w:val="0"/>
                <w:szCs w:val="21"/>
                <w:highlight w:val="none"/>
                <w14:textFill>
                  <w14:solidFill>
                    <w14:schemeClr w14:val="tx1"/>
                  </w14:solidFill>
                </w14:textFill>
              </w:rPr>
              <w:t xml:space="preserve"> 2</w:t>
            </w:r>
            <w:r>
              <w:rPr>
                <w:rFonts w:ascii="Times New Roman" w:hAnsi="宋体" w:eastAsia="宋体" w:cs="Times New Roman"/>
                <w:color w:val="000000" w:themeColor="text1"/>
                <w:kern w:val="0"/>
                <w:szCs w:val="21"/>
                <w:highlight w:val="none"/>
                <w14:textFill>
                  <w14:solidFill>
                    <w14:schemeClr w14:val="tx1"/>
                  </w14:solidFill>
                </w14:textFill>
              </w:rPr>
              <w:t>路以太网口，</w:t>
            </w:r>
            <w:r>
              <w:rPr>
                <w:rFonts w:ascii="Times New Roman" w:hAnsi="Times New Roman" w:eastAsia="宋体" w:cs="Times New Roman"/>
                <w:color w:val="000000" w:themeColor="text1"/>
                <w:kern w:val="0"/>
                <w:szCs w:val="21"/>
                <w:highlight w:val="none"/>
                <w14:textFill>
                  <w14:solidFill>
                    <w14:schemeClr w14:val="tx1"/>
                  </w14:solidFill>
                </w14:textFill>
              </w:rPr>
              <w:t>8G</w:t>
            </w:r>
            <w:r>
              <w:rPr>
                <w:rFonts w:ascii="Times New Roman" w:hAnsi="宋体" w:eastAsia="宋体" w:cs="Times New Roman"/>
                <w:color w:val="000000" w:themeColor="text1"/>
                <w:kern w:val="0"/>
                <w:szCs w:val="21"/>
                <w:highlight w:val="none"/>
                <w14:textFill>
                  <w14:solidFill>
                    <w14:schemeClr w14:val="tx1"/>
                  </w14:solidFill>
                </w14:textFill>
              </w:rPr>
              <w:t>存储，</w:t>
            </w:r>
            <w:r>
              <w:rPr>
                <w:rFonts w:ascii="Times New Roman" w:hAnsi="Times New Roman" w:eastAsia="宋体" w:cs="Times New Roman"/>
                <w:color w:val="000000" w:themeColor="text1"/>
                <w:kern w:val="0"/>
                <w:szCs w:val="21"/>
                <w:highlight w:val="none"/>
                <w14:textFill>
                  <w14:solidFill>
                    <w14:schemeClr w14:val="tx1"/>
                  </w14:solidFill>
                </w14:textFill>
              </w:rPr>
              <w:t>512MB</w:t>
            </w:r>
            <w:r>
              <w:rPr>
                <w:rFonts w:ascii="Times New Roman" w:hAnsi="宋体" w:eastAsia="宋体" w:cs="Times New Roman"/>
                <w:color w:val="000000" w:themeColor="text1"/>
                <w:kern w:val="0"/>
                <w:szCs w:val="21"/>
                <w:highlight w:val="none"/>
                <w14:textFill>
                  <w14:solidFill>
                    <w14:schemeClr w14:val="tx1"/>
                  </w14:solidFill>
                </w14:textFill>
              </w:rPr>
              <w:t>内存。</w:t>
            </w:r>
            <w:r>
              <w:rPr>
                <w:rFonts w:ascii="Times New Roman" w:hAnsi="Times New Roman" w:eastAsia="宋体" w:cs="Times New Roman"/>
                <w:color w:val="000000" w:themeColor="text1"/>
                <w:kern w:val="0"/>
                <w:szCs w:val="21"/>
                <w:highlight w:val="none"/>
                <w14:textFill>
                  <w14:solidFill>
                    <w14:schemeClr w14:val="tx1"/>
                  </w14:solidFill>
                </w14:textFill>
              </w:rPr>
              <w:t>AC220V</w:t>
            </w:r>
            <w:r>
              <w:rPr>
                <w:rFonts w:ascii="Times New Roman" w:hAnsi="宋体" w:eastAsia="宋体" w:cs="Times New Roman"/>
                <w:color w:val="000000" w:themeColor="text1"/>
                <w:kern w:val="0"/>
                <w:szCs w:val="21"/>
                <w:highlight w:val="none"/>
                <w14:textFill>
                  <w14:solidFill>
                    <w14:schemeClr w14:val="tx1"/>
                  </w14:solidFill>
                </w14:textFill>
              </w:rPr>
              <w:t>供电。</w:t>
            </w:r>
          </w:p>
        </w:tc>
        <w:tc>
          <w:tcPr>
            <w:tcW w:w="850" w:type="dxa"/>
            <w:tcBorders>
              <w:top w:val="nil"/>
              <w:left w:val="nil"/>
              <w:bottom w:val="single" w:color="auto" w:sz="4" w:space="0"/>
              <w:right w:val="single" w:color="auto" w:sz="4" w:space="0"/>
            </w:tcBorders>
            <w:vAlign w:val="center"/>
          </w:tcPr>
          <w:p w14:paraId="13F00DA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38D0541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2D70844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02B2EFA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62B9B1F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EFB79B8">
        <w:tblPrEx>
          <w:tblCellMar>
            <w:top w:w="0" w:type="dxa"/>
            <w:left w:w="108" w:type="dxa"/>
            <w:bottom w:w="0" w:type="dxa"/>
            <w:right w:w="108" w:type="dxa"/>
          </w:tblCellMar>
        </w:tblPrEx>
        <w:trPr>
          <w:cantSplit/>
          <w:trHeight w:val="780" w:hRule="atLeast"/>
        </w:trPr>
        <w:tc>
          <w:tcPr>
            <w:tcW w:w="704" w:type="dxa"/>
            <w:tcBorders>
              <w:top w:val="nil"/>
              <w:left w:val="single" w:color="auto" w:sz="4" w:space="0"/>
              <w:bottom w:val="single" w:color="auto" w:sz="4" w:space="0"/>
              <w:right w:val="single" w:color="auto" w:sz="4" w:space="0"/>
            </w:tcBorders>
            <w:vAlign w:val="center"/>
          </w:tcPr>
          <w:p w14:paraId="7ECA75F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2A8B52B8">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通讯网络柜</w:t>
            </w:r>
          </w:p>
        </w:tc>
        <w:tc>
          <w:tcPr>
            <w:tcW w:w="2410" w:type="dxa"/>
            <w:tcBorders>
              <w:top w:val="nil"/>
              <w:left w:val="nil"/>
              <w:bottom w:val="single" w:color="auto" w:sz="4" w:space="0"/>
              <w:right w:val="single" w:color="auto" w:sz="4" w:space="0"/>
            </w:tcBorders>
            <w:vAlign w:val="center"/>
          </w:tcPr>
          <w:p w14:paraId="15312824">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原故障录波柜更换，含柜体及内部线路，光纤终端盒、跳线、尾纤、</w:t>
            </w:r>
            <w:r>
              <w:rPr>
                <w:rFonts w:ascii="Times New Roman" w:hAnsi="Times New Roman" w:eastAsia="宋体" w:cs="Times New Roman"/>
                <w:color w:val="000000" w:themeColor="text1"/>
                <w:kern w:val="0"/>
                <w:szCs w:val="21"/>
                <w:highlight w:val="none"/>
                <w14:textFill>
                  <w14:solidFill>
                    <w14:schemeClr w14:val="tx1"/>
                  </w14:solidFill>
                </w14:textFill>
              </w:rPr>
              <w:t>PDU</w:t>
            </w:r>
            <w:r>
              <w:rPr>
                <w:rFonts w:ascii="Times New Roman" w:hAnsi="宋体" w:eastAsia="宋体" w:cs="Times New Roman"/>
                <w:color w:val="000000" w:themeColor="text1"/>
                <w:kern w:val="0"/>
                <w:szCs w:val="21"/>
                <w:highlight w:val="none"/>
                <w14:textFill>
                  <w14:solidFill>
                    <w14:schemeClr w14:val="tx1"/>
                  </w14:solidFill>
                </w14:textFill>
              </w:rPr>
              <w:t>等，原有设备拆除、新机柜安装。</w:t>
            </w:r>
          </w:p>
        </w:tc>
        <w:tc>
          <w:tcPr>
            <w:tcW w:w="850" w:type="dxa"/>
            <w:tcBorders>
              <w:top w:val="nil"/>
              <w:left w:val="nil"/>
              <w:bottom w:val="single" w:color="auto" w:sz="4" w:space="0"/>
              <w:right w:val="single" w:color="auto" w:sz="4" w:space="0"/>
            </w:tcBorders>
            <w:vAlign w:val="center"/>
          </w:tcPr>
          <w:p w14:paraId="499EF42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67F48C3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45DADE3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6BA4B8C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7353A33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288AFC9B">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vAlign w:val="center"/>
          </w:tcPr>
          <w:p w14:paraId="3074DA3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6443A95D">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同步时钟</w:t>
            </w:r>
          </w:p>
        </w:tc>
        <w:tc>
          <w:tcPr>
            <w:tcW w:w="2410" w:type="dxa"/>
            <w:tcBorders>
              <w:top w:val="nil"/>
              <w:left w:val="nil"/>
              <w:bottom w:val="single" w:color="auto" w:sz="4" w:space="0"/>
              <w:right w:val="single" w:color="auto" w:sz="4" w:space="0"/>
            </w:tcBorders>
            <w:vAlign w:val="center"/>
          </w:tcPr>
          <w:p w14:paraId="17538796">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主时钟</w:t>
            </w:r>
            <w:r>
              <w:rPr>
                <w:rFonts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宋体" w:eastAsia="宋体" w:cs="Times New Roman"/>
                <w:color w:val="000000" w:themeColor="text1"/>
                <w:kern w:val="0"/>
                <w:szCs w:val="21"/>
                <w:highlight w:val="none"/>
                <w14:textFill>
                  <w14:solidFill>
                    <w14:schemeClr w14:val="tx1"/>
                  </w14:solidFill>
                </w14:textFill>
              </w:rPr>
              <w:t>北斗</w:t>
            </w:r>
            <w:r>
              <w:rPr>
                <w:rFonts w:ascii="Times New Roman" w:hAnsi="Times New Roman" w:eastAsia="宋体" w:cs="Times New Roman"/>
                <w:color w:val="000000" w:themeColor="text1"/>
                <w:kern w:val="0"/>
                <w:szCs w:val="21"/>
                <w:highlight w:val="none"/>
                <w14:textFill>
                  <w14:solidFill>
                    <w14:schemeClr w14:val="tx1"/>
                  </w14:solidFill>
                </w14:textFill>
              </w:rPr>
              <w:t>/GPS</w:t>
            </w:r>
            <w:r>
              <w:rPr>
                <w:rFonts w:ascii="Times New Roman" w:hAnsi="宋体" w:eastAsia="宋体" w:cs="Times New Roman"/>
                <w:color w:val="000000" w:themeColor="text1"/>
                <w:kern w:val="0"/>
                <w:szCs w:val="21"/>
                <w:highlight w:val="none"/>
                <w14:textFill>
                  <w14:solidFill>
                    <w14:schemeClr w14:val="tx1"/>
                  </w14:solidFill>
                </w14:textFill>
              </w:rPr>
              <w:t>双星通信，含天线、天线支架、天线防雷器等。</w:t>
            </w:r>
          </w:p>
        </w:tc>
        <w:tc>
          <w:tcPr>
            <w:tcW w:w="850" w:type="dxa"/>
            <w:tcBorders>
              <w:top w:val="nil"/>
              <w:left w:val="nil"/>
              <w:bottom w:val="single" w:color="auto" w:sz="4" w:space="0"/>
              <w:right w:val="single" w:color="auto" w:sz="4" w:space="0"/>
            </w:tcBorders>
            <w:vAlign w:val="center"/>
          </w:tcPr>
          <w:p w14:paraId="31B38AD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59C2E14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35D6285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77187D5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center"/>
          </w:tcPr>
          <w:p w14:paraId="0785A5C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5BCFCAC0">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vAlign w:val="center"/>
          </w:tcPr>
          <w:p w14:paraId="474EAC6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二</w:t>
            </w:r>
          </w:p>
        </w:tc>
        <w:tc>
          <w:tcPr>
            <w:tcW w:w="1276" w:type="dxa"/>
            <w:tcBorders>
              <w:top w:val="single" w:color="auto" w:sz="4" w:space="0"/>
              <w:left w:val="nil"/>
              <w:bottom w:val="single" w:color="auto" w:sz="4" w:space="0"/>
              <w:right w:val="single" w:color="auto" w:sz="4" w:space="0"/>
            </w:tcBorders>
            <w:vAlign w:val="center"/>
          </w:tcPr>
          <w:p w14:paraId="7FEBD22E">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继电保护及安全自动装置</w:t>
            </w:r>
          </w:p>
        </w:tc>
        <w:tc>
          <w:tcPr>
            <w:tcW w:w="2410" w:type="dxa"/>
            <w:tcBorders>
              <w:top w:val="single" w:color="auto" w:sz="4" w:space="0"/>
              <w:left w:val="nil"/>
              <w:bottom w:val="single" w:color="auto" w:sz="4" w:space="0"/>
              <w:right w:val="single" w:color="auto" w:sz="4" w:space="0"/>
            </w:tcBorders>
            <w:vAlign w:val="center"/>
          </w:tcPr>
          <w:p w14:paraId="0E160689">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50" w:type="dxa"/>
            <w:tcBorders>
              <w:top w:val="single" w:color="auto" w:sz="4" w:space="0"/>
              <w:left w:val="nil"/>
              <w:bottom w:val="single" w:color="auto" w:sz="4" w:space="0"/>
              <w:right w:val="single" w:color="auto" w:sz="4" w:space="0"/>
            </w:tcBorders>
            <w:vAlign w:val="center"/>
          </w:tcPr>
          <w:p w14:paraId="76F2AD6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single" w:color="auto" w:sz="4" w:space="0"/>
              <w:left w:val="nil"/>
              <w:bottom w:val="single" w:color="auto" w:sz="4" w:space="0"/>
              <w:right w:val="single" w:color="auto" w:sz="4" w:space="0"/>
            </w:tcBorders>
            <w:vAlign w:val="center"/>
          </w:tcPr>
          <w:p w14:paraId="078D85D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vAlign w:val="center"/>
          </w:tcPr>
          <w:p w14:paraId="3C6DBCE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1AE6A07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03BF35F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758BBA0">
        <w:tblPrEx>
          <w:tblCellMar>
            <w:top w:w="0" w:type="dxa"/>
            <w:left w:w="108" w:type="dxa"/>
            <w:bottom w:w="0" w:type="dxa"/>
            <w:right w:w="108" w:type="dxa"/>
          </w:tblCellMar>
        </w:tblPrEx>
        <w:trPr>
          <w:cantSplit/>
          <w:trHeight w:val="718" w:hRule="atLeast"/>
        </w:trPr>
        <w:tc>
          <w:tcPr>
            <w:tcW w:w="704" w:type="dxa"/>
            <w:tcBorders>
              <w:top w:val="single" w:color="auto" w:sz="4" w:space="0"/>
              <w:left w:val="single" w:color="auto" w:sz="4" w:space="0"/>
              <w:bottom w:val="single" w:color="auto" w:sz="4" w:space="0"/>
              <w:right w:val="single" w:color="auto" w:sz="4" w:space="0"/>
            </w:tcBorders>
            <w:vAlign w:val="center"/>
          </w:tcPr>
          <w:p w14:paraId="37CD8A7B">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vAlign w:val="center"/>
          </w:tcPr>
          <w:p w14:paraId="5D2E5DD0">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 xml:space="preserve">110kV </w:t>
            </w:r>
            <w:r>
              <w:rPr>
                <w:rFonts w:ascii="Times New Roman" w:hAnsi="宋体" w:eastAsia="宋体" w:cs="Times New Roman"/>
                <w:b/>
                <w:bCs/>
                <w:color w:val="000000" w:themeColor="text1"/>
                <w:kern w:val="0"/>
                <w:szCs w:val="21"/>
                <w:highlight w:val="none"/>
                <w14:textFill>
                  <w14:solidFill>
                    <w14:schemeClr w14:val="tx1"/>
                  </w14:solidFill>
                </w14:textFill>
              </w:rPr>
              <w:t>线路电流差动保护屏</w:t>
            </w:r>
          </w:p>
        </w:tc>
        <w:tc>
          <w:tcPr>
            <w:tcW w:w="2410" w:type="dxa"/>
            <w:tcBorders>
              <w:top w:val="single" w:color="auto" w:sz="4" w:space="0"/>
              <w:left w:val="nil"/>
              <w:bottom w:val="single" w:color="auto" w:sz="4" w:space="0"/>
              <w:right w:val="single" w:color="auto" w:sz="4" w:space="0"/>
            </w:tcBorders>
            <w:vAlign w:val="center"/>
          </w:tcPr>
          <w:p w14:paraId="347AF9AB">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含测控、保护及操作箱功能，含屏体</w:t>
            </w:r>
            <w:r>
              <w:rPr>
                <w:rFonts w:ascii="Times New Roman" w:hAnsi="Times New Roman" w:eastAsia="宋体" w:cs="Times New Roman"/>
                <w:color w:val="000000" w:themeColor="text1"/>
                <w:kern w:val="0"/>
                <w:szCs w:val="21"/>
                <w:highlight w:val="none"/>
                <w14:textFill>
                  <w14:solidFill>
                    <w14:schemeClr w14:val="tx1"/>
                  </w14:solidFill>
                </w14:textFill>
              </w:rPr>
              <w:t>2260*800*600mm</w:t>
            </w:r>
            <w:r>
              <w:rPr>
                <w:rFonts w:ascii="Times New Roman" w:hAnsi="宋体" w:eastAsia="宋体" w:cs="Times New Roman"/>
                <w:color w:val="000000" w:themeColor="text1"/>
                <w:kern w:val="0"/>
                <w:szCs w:val="21"/>
                <w:highlight w:val="none"/>
                <w14:textFill>
                  <w14:solidFill>
                    <w14:schemeClr w14:val="tx1"/>
                  </w14:solidFill>
                </w14:textFill>
              </w:rPr>
              <w:t>。含过流保护、零序过流保护、过流加速保护、零序加速保护、重合闸等保护功能，至少含</w:t>
            </w:r>
            <w:r>
              <w:rPr>
                <w:rFonts w:ascii="Times New Roman" w:hAnsi="Times New Roman" w:eastAsia="宋体" w:cs="Times New Roman"/>
                <w:color w:val="000000" w:themeColor="text1"/>
                <w:kern w:val="0"/>
                <w:szCs w:val="21"/>
                <w:highlight w:val="none"/>
                <w14:textFill>
                  <w14:solidFill>
                    <w14:schemeClr w14:val="tx1"/>
                  </w14:solidFill>
                </w14:textFill>
              </w:rPr>
              <w:t>7</w:t>
            </w:r>
            <w:r>
              <w:rPr>
                <w:rFonts w:ascii="Times New Roman" w:hAnsi="宋体" w:eastAsia="宋体" w:cs="Times New Roman"/>
                <w:color w:val="000000" w:themeColor="text1"/>
                <w:kern w:val="0"/>
                <w:szCs w:val="21"/>
                <w:highlight w:val="none"/>
                <w14:textFill>
                  <w14:solidFill>
                    <w14:schemeClr w14:val="tx1"/>
                  </w14:solidFill>
                </w14:textFill>
              </w:rPr>
              <w:t>组电流</w:t>
            </w:r>
            <w:r>
              <w:rPr>
                <w:rFonts w:ascii="Times New Roman" w:hAnsi="Times New Roman" w:eastAsia="宋体" w:cs="Times New Roman"/>
                <w:color w:val="000000" w:themeColor="text1"/>
                <w:kern w:val="0"/>
                <w:szCs w:val="21"/>
                <w:highlight w:val="none"/>
                <w14:textFill>
                  <w14:solidFill>
                    <w14:schemeClr w14:val="tx1"/>
                  </w14:solidFill>
                </w14:textFill>
              </w:rPr>
              <w:t>4</w:t>
            </w:r>
            <w:r>
              <w:rPr>
                <w:rFonts w:ascii="Times New Roman" w:hAnsi="宋体" w:eastAsia="宋体" w:cs="Times New Roman"/>
                <w:color w:val="000000" w:themeColor="text1"/>
                <w:kern w:val="0"/>
                <w:szCs w:val="21"/>
                <w:highlight w:val="none"/>
                <w14:textFill>
                  <w14:solidFill>
                    <w14:schemeClr w14:val="tx1"/>
                  </w14:solidFill>
                </w14:textFill>
              </w:rPr>
              <w:t>组电压模拟量输入，</w:t>
            </w:r>
            <w:r>
              <w:rPr>
                <w:rFonts w:ascii="Times New Roman" w:hAnsi="Times New Roman" w:eastAsia="宋体" w:cs="Times New Roman"/>
                <w:color w:val="000000" w:themeColor="text1"/>
                <w:kern w:val="0"/>
                <w:szCs w:val="21"/>
                <w:highlight w:val="none"/>
                <w14:textFill>
                  <w14:solidFill>
                    <w14:schemeClr w14:val="tx1"/>
                  </w14:solidFill>
                </w14:textFill>
              </w:rPr>
              <w:t>6</w:t>
            </w:r>
            <w:r>
              <w:rPr>
                <w:rFonts w:ascii="Times New Roman" w:hAnsi="宋体" w:eastAsia="宋体" w:cs="Times New Roman"/>
                <w:color w:val="000000" w:themeColor="text1"/>
                <w:kern w:val="0"/>
                <w:szCs w:val="21"/>
                <w:highlight w:val="none"/>
                <w14:textFill>
                  <w14:solidFill>
                    <w14:schemeClr w14:val="tx1"/>
                  </w14:solidFill>
                </w14:textFill>
              </w:rPr>
              <w:t>组跳闸出口，</w:t>
            </w:r>
            <w:r>
              <w:rPr>
                <w:rFonts w:ascii="Times New Roman" w:hAnsi="Times New Roman" w:eastAsia="宋体" w:cs="Times New Roman"/>
                <w:color w:val="000000" w:themeColor="text1"/>
                <w:kern w:val="0"/>
                <w:szCs w:val="21"/>
                <w:highlight w:val="none"/>
                <w14:textFill>
                  <w14:solidFill>
                    <w14:schemeClr w14:val="tx1"/>
                  </w14:solidFill>
                </w14:textFill>
              </w:rPr>
              <w:t>30</w:t>
            </w:r>
            <w:r>
              <w:rPr>
                <w:rFonts w:ascii="Times New Roman" w:hAnsi="宋体" w:eastAsia="宋体" w:cs="Times New Roman"/>
                <w:color w:val="000000" w:themeColor="text1"/>
                <w:kern w:val="0"/>
                <w:szCs w:val="21"/>
                <w:highlight w:val="none"/>
                <w14:textFill>
                  <w14:solidFill>
                    <w14:schemeClr w14:val="tx1"/>
                  </w14:solidFill>
                </w14:textFill>
              </w:rPr>
              <w:t>个普通遥信开入，</w:t>
            </w:r>
            <w:r>
              <w:rPr>
                <w:rFonts w:ascii="Times New Roman" w:hAnsi="Times New Roman" w:eastAsia="宋体" w:cs="Times New Roman"/>
                <w:color w:val="000000" w:themeColor="text1"/>
                <w:kern w:val="0"/>
                <w:szCs w:val="21"/>
                <w:highlight w:val="none"/>
                <w14:textFill>
                  <w14:solidFill>
                    <w14:schemeClr w14:val="tx1"/>
                  </w14:solidFill>
                </w14:textFill>
              </w:rPr>
              <w:t>6</w:t>
            </w:r>
            <w:r>
              <w:rPr>
                <w:rFonts w:ascii="Times New Roman" w:hAnsi="宋体" w:eastAsia="宋体" w:cs="Times New Roman"/>
                <w:color w:val="000000" w:themeColor="text1"/>
                <w:kern w:val="0"/>
                <w:szCs w:val="21"/>
                <w:highlight w:val="none"/>
                <w14:textFill>
                  <w14:solidFill>
                    <w14:schemeClr w14:val="tx1"/>
                  </w14:solidFill>
                </w14:textFill>
              </w:rPr>
              <w:t>组遥控分合闸出口，操作箱带</w:t>
            </w:r>
            <w:r>
              <w:rPr>
                <w:rFonts w:ascii="Times New Roman" w:hAnsi="Times New Roman" w:eastAsia="宋体" w:cs="Times New Roman"/>
                <w:color w:val="000000" w:themeColor="text1"/>
                <w:kern w:val="0"/>
                <w:szCs w:val="21"/>
                <w:highlight w:val="none"/>
                <w14:textFill>
                  <w14:solidFill>
                    <w14:schemeClr w14:val="tx1"/>
                  </w14:solidFill>
                </w14:textFill>
              </w:rPr>
              <w:t>2</w:t>
            </w:r>
            <w:r>
              <w:rPr>
                <w:rFonts w:ascii="Times New Roman" w:hAnsi="宋体" w:eastAsia="宋体" w:cs="Times New Roman"/>
                <w:color w:val="000000" w:themeColor="text1"/>
                <w:kern w:val="0"/>
                <w:szCs w:val="21"/>
                <w:highlight w:val="none"/>
                <w14:textFill>
                  <w14:solidFill>
                    <w14:schemeClr w14:val="tx1"/>
                  </w14:solidFill>
                </w14:textFill>
              </w:rPr>
              <w:t>组跳闸回路，</w:t>
            </w:r>
            <w:r>
              <w:rPr>
                <w:rFonts w:ascii="Times New Roman" w:hAnsi="Times New Roman" w:eastAsia="宋体" w:cs="Times New Roman"/>
                <w:color w:val="000000" w:themeColor="text1"/>
                <w:kern w:val="0"/>
                <w:szCs w:val="21"/>
                <w:highlight w:val="none"/>
                <w14:textFill>
                  <w14:solidFill>
                    <w14:schemeClr w14:val="tx1"/>
                  </w14:solidFill>
                </w14:textFill>
              </w:rPr>
              <w:t>1</w:t>
            </w:r>
            <w:r>
              <w:rPr>
                <w:rFonts w:ascii="Times New Roman" w:hAnsi="宋体" w:eastAsia="宋体" w:cs="Times New Roman"/>
                <w:color w:val="000000" w:themeColor="text1"/>
                <w:kern w:val="0"/>
                <w:szCs w:val="21"/>
                <w:highlight w:val="none"/>
                <w14:textFill>
                  <w14:solidFill>
                    <w14:schemeClr w14:val="tx1"/>
                  </w14:solidFill>
                </w14:textFill>
              </w:rPr>
              <w:t>组合闸回路。装置具备对上</w:t>
            </w:r>
            <w:r>
              <w:rPr>
                <w:rFonts w:ascii="Times New Roman" w:hAnsi="Times New Roman" w:eastAsia="宋体" w:cs="Times New Roman"/>
                <w:color w:val="000000" w:themeColor="text1"/>
                <w:kern w:val="0"/>
                <w:szCs w:val="21"/>
                <w:highlight w:val="none"/>
                <w14:textFill>
                  <w14:solidFill>
                    <w14:schemeClr w14:val="tx1"/>
                  </w14:solidFill>
                </w14:textFill>
              </w:rPr>
              <w:t>IEC61850</w:t>
            </w:r>
            <w:r>
              <w:rPr>
                <w:rFonts w:ascii="Times New Roman" w:hAnsi="宋体" w:eastAsia="宋体" w:cs="Times New Roman"/>
                <w:color w:val="000000" w:themeColor="text1"/>
                <w:kern w:val="0"/>
                <w:szCs w:val="21"/>
                <w:highlight w:val="none"/>
                <w14:textFill>
                  <w14:solidFill>
                    <w14:schemeClr w14:val="tx1"/>
                  </w14:solidFill>
                </w14:textFill>
              </w:rPr>
              <w:t>和</w:t>
            </w:r>
            <w:r>
              <w:rPr>
                <w:rFonts w:ascii="Times New Roman" w:hAnsi="Times New Roman" w:eastAsia="宋体" w:cs="Times New Roman"/>
                <w:color w:val="000000" w:themeColor="text1"/>
                <w:kern w:val="0"/>
                <w:szCs w:val="21"/>
                <w:highlight w:val="none"/>
                <w14:textFill>
                  <w14:solidFill>
                    <w14:schemeClr w14:val="tx1"/>
                  </w14:solidFill>
                </w14:textFill>
              </w:rPr>
              <w:t>modbus rtu</w:t>
            </w:r>
            <w:r>
              <w:rPr>
                <w:rFonts w:ascii="Times New Roman" w:hAnsi="宋体" w:eastAsia="宋体" w:cs="Times New Roman"/>
                <w:color w:val="000000" w:themeColor="text1"/>
                <w:kern w:val="0"/>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3B6627F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面</w:t>
            </w:r>
          </w:p>
        </w:tc>
        <w:tc>
          <w:tcPr>
            <w:tcW w:w="992" w:type="dxa"/>
            <w:tcBorders>
              <w:top w:val="single" w:color="auto" w:sz="4" w:space="0"/>
              <w:left w:val="nil"/>
              <w:bottom w:val="single" w:color="auto" w:sz="4" w:space="0"/>
              <w:right w:val="single" w:color="auto" w:sz="4" w:space="0"/>
            </w:tcBorders>
            <w:vAlign w:val="center"/>
          </w:tcPr>
          <w:p w14:paraId="0020BC1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single" w:color="auto" w:sz="4" w:space="0"/>
              <w:left w:val="nil"/>
              <w:bottom w:val="single" w:color="auto" w:sz="4" w:space="0"/>
              <w:right w:val="single" w:color="auto" w:sz="4" w:space="0"/>
            </w:tcBorders>
            <w:vAlign w:val="center"/>
          </w:tcPr>
          <w:p w14:paraId="02A6B5D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1FD884F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498E36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4EE0CF3">
        <w:tblPrEx>
          <w:tblCellMar>
            <w:top w:w="0" w:type="dxa"/>
            <w:left w:w="108" w:type="dxa"/>
            <w:bottom w:w="0" w:type="dxa"/>
            <w:right w:w="108" w:type="dxa"/>
          </w:tblCellMar>
        </w:tblPrEx>
        <w:trPr>
          <w:cantSplit/>
          <w:trHeight w:val="488" w:hRule="atLeast"/>
        </w:trPr>
        <w:tc>
          <w:tcPr>
            <w:tcW w:w="704" w:type="dxa"/>
            <w:tcBorders>
              <w:top w:val="nil"/>
              <w:left w:val="single" w:color="auto" w:sz="4" w:space="0"/>
              <w:bottom w:val="single" w:color="auto" w:sz="4" w:space="0"/>
              <w:right w:val="single" w:color="auto" w:sz="4" w:space="0"/>
            </w:tcBorders>
            <w:vAlign w:val="center"/>
          </w:tcPr>
          <w:p w14:paraId="0282E418">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2AFED800">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主变保护屏</w:t>
            </w:r>
          </w:p>
        </w:tc>
        <w:tc>
          <w:tcPr>
            <w:tcW w:w="2410" w:type="dxa"/>
            <w:tcBorders>
              <w:top w:val="nil"/>
              <w:left w:val="nil"/>
              <w:bottom w:val="single" w:color="auto" w:sz="4" w:space="0"/>
              <w:right w:val="single" w:color="auto" w:sz="4" w:space="0"/>
            </w:tcBorders>
            <w:vAlign w:val="center"/>
          </w:tcPr>
          <w:p w14:paraId="07CBDFD8">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vAlign w:val="center"/>
          </w:tcPr>
          <w:p w14:paraId="02BC4A3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5177730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vAlign w:val="center"/>
          </w:tcPr>
          <w:p w14:paraId="7942CD8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3B7A3DC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287BF12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44BF3EC">
        <w:tblPrEx>
          <w:tblCellMar>
            <w:top w:w="0" w:type="dxa"/>
            <w:left w:w="108" w:type="dxa"/>
            <w:bottom w:w="0" w:type="dxa"/>
            <w:right w:w="108" w:type="dxa"/>
          </w:tblCellMar>
        </w:tblPrEx>
        <w:trPr>
          <w:cantSplit/>
          <w:trHeight w:val="2830" w:hRule="atLeast"/>
        </w:trPr>
        <w:tc>
          <w:tcPr>
            <w:tcW w:w="704" w:type="dxa"/>
            <w:tcBorders>
              <w:top w:val="single" w:color="auto" w:sz="4" w:space="0"/>
              <w:left w:val="single" w:color="auto" w:sz="4" w:space="0"/>
              <w:bottom w:val="single" w:color="auto" w:sz="4" w:space="0"/>
              <w:right w:val="single" w:color="auto" w:sz="4" w:space="0"/>
            </w:tcBorders>
            <w:vAlign w:val="center"/>
          </w:tcPr>
          <w:p w14:paraId="572FDF6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7BC7F2C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差动保护</w:t>
            </w:r>
          </w:p>
        </w:tc>
        <w:tc>
          <w:tcPr>
            <w:tcW w:w="2410" w:type="dxa"/>
            <w:tcBorders>
              <w:top w:val="single" w:color="auto" w:sz="4" w:space="0"/>
              <w:left w:val="nil"/>
              <w:bottom w:val="single" w:color="auto" w:sz="4" w:space="0"/>
              <w:right w:val="single" w:color="auto" w:sz="4" w:space="0"/>
            </w:tcBorders>
            <w:vAlign w:val="center"/>
          </w:tcPr>
          <w:p w14:paraId="499AF5C9">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在变压器绕组、套管及引出线内部发生任何形式的短路故障时，无延时切除故障；在正常运行、外部故障、</w:t>
            </w:r>
            <w:r>
              <w:rPr>
                <w:rFonts w:ascii="Times New Roman" w:hAnsi="Times New Roman" w:eastAsia="宋体" w:cs="Times New Roman"/>
                <w:color w:val="000000" w:themeColor="text1"/>
                <w:kern w:val="0"/>
                <w:szCs w:val="21"/>
                <w:highlight w:val="none"/>
                <w14:textFill>
                  <w14:solidFill>
                    <w14:schemeClr w14:val="tx1"/>
                  </w14:solidFill>
                </w14:textFill>
              </w:rPr>
              <w:t xml:space="preserve">CT </w:t>
            </w:r>
            <w:r>
              <w:rPr>
                <w:rFonts w:ascii="Times New Roman" w:hAnsi="宋体" w:eastAsia="宋体" w:cs="Times New Roman"/>
                <w:color w:val="000000" w:themeColor="text1"/>
                <w:kern w:val="0"/>
                <w:szCs w:val="21"/>
                <w:highlight w:val="none"/>
                <w14:textFill>
                  <w14:solidFill>
                    <w14:schemeClr w14:val="tx1"/>
                  </w14:solidFill>
                </w14:textFill>
              </w:rPr>
              <w:t>断线、励磁涌流及过励磁等情况下可靠不误动。含比率差动保护、</w:t>
            </w:r>
            <w:r>
              <w:rPr>
                <w:rFonts w:ascii="Times New Roman" w:hAnsi="Times New Roman" w:eastAsia="宋体" w:cs="Times New Roman"/>
                <w:color w:val="000000" w:themeColor="text1"/>
                <w:kern w:val="0"/>
                <w:szCs w:val="21"/>
                <w:highlight w:val="none"/>
                <w14:textFill>
                  <w14:solidFill>
                    <w14:schemeClr w14:val="tx1"/>
                  </w14:solidFill>
                </w14:textFill>
              </w:rPr>
              <w:t xml:space="preserve"> </w:t>
            </w:r>
            <w:r>
              <w:rPr>
                <w:rFonts w:ascii="Times New Roman" w:hAnsi="宋体" w:eastAsia="宋体" w:cs="Times New Roman"/>
                <w:color w:val="000000" w:themeColor="text1"/>
                <w:kern w:val="0"/>
                <w:szCs w:val="21"/>
                <w:highlight w:val="none"/>
                <w14:textFill>
                  <w14:solidFill>
                    <w14:schemeClr w14:val="tx1"/>
                  </w14:solidFill>
                </w14:textFill>
              </w:rPr>
              <w:t>差动速断保护、中、低压侧后备过流保护、异常报警功能。装置具备对上</w:t>
            </w:r>
            <w:r>
              <w:rPr>
                <w:rFonts w:ascii="Times New Roman" w:hAnsi="Times New Roman" w:eastAsia="宋体" w:cs="Times New Roman"/>
                <w:color w:val="000000" w:themeColor="text1"/>
                <w:kern w:val="0"/>
                <w:szCs w:val="21"/>
                <w:highlight w:val="none"/>
                <w14:textFill>
                  <w14:solidFill>
                    <w14:schemeClr w14:val="tx1"/>
                  </w14:solidFill>
                </w14:textFill>
              </w:rPr>
              <w:t>IEC61850</w:t>
            </w:r>
            <w:r>
              <w:rPr>
                <w:rFonts w:ascii="Times New Roman" w:hAnsi="宋体" w:eastAsia="宋体" w:cs="Times New Roman"/>
                <w:color w:val="000000" w:themeColor="text1"/>
                <w:kern w:val="0"/>
                <w:szCs w:val="21"/>
                <w:highlight w:val="none"/>
                <w14:textFill>
                  <w14:solidFill>
                    <w14:schemeClr w14:val="tx1"/>
                  </w14:solidFill>
                </w14:textFill>
              </w:rPr>
              <w:t>和</w:t>
            </w:r>
            <w:r>
              <w:rPr>
                <w:rFonts w:ascii="Times New Roman" w:hAnsi="Times New Roman" w:eastAsia="宋体" w:cs="Times New Roman"/>
                <w:color w:val="000000" w:themeColor="text1"/>
                <w:kern w:val="0"/>
                <w:szCs w:val="21"/>
                <w:highlight w:val="none"/>
                <w14:textFill>
                  <w14:solidFill>
                    <w14:schemeClr w14:val="tx1"/>
                  </w14:solidFill>
                </w14:textFill>
              </w:rPr>
              <w:t>modbus rtu</w:t>
            </w:r>
            <w:r>
              <w:rPr>
                <w:rFonts w:ascii="Times New Roman" w:hAnsi="宋体" w:eastAsia="宋体" w:cs="Times New Roman"/>
                <w:color w:val="000000" w:themeColor="text1"/>
                <w:kern w:val="0"/>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680D940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643F47A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20CFF91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388244A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2C15604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8210AC8">
        <w:tblPrEx>
          <w:tblCellMar>
            <w:top w:w="0" w:type="dxa"/>
            <w:left w:w="108" w:type="dxa"/>
            <w:bottom w:w="0" w:type="dxa"/>
            <w:right w:w="108" w:type="dxa"/>
          </w:tblCellMar>
        </w:tblPrEx>
        <w:trPr>
          <w:cantSplit/>
          <w:trHeight w:val="3256" w:hRule="atLeast"/>
        </w:trPr>
        <w:tc>
          <w:tcPr>
            <w:tcW w:w="704" w:type="dxa"/>
            <w:tcBorders>
              <w:top w:val="nil"/>
              <w:left w:val="single" w:color="auto" w:sz="4" w:space="0"/>
              <w:bottom w:val="single" w:color="auto" w:sz="4" w:space="0"/>
              <w:right w:val="single" w:color="auto" w:sz="4" w:space="0"/>
            </w:tcBorders>
            <w:vAlign w:val="center"/>
          </w:tcPr>
          <w:p w14:paraId="3D22FE5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vAlign w:val="center"/>
          </w:tcPr>
          <w:p w14:paraId="711F62B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高压侧后备保护</w:t>
            </w:r>
          </w:p>
        </w:tc>
        <w:tc>
          <w:tcPr>
            <w:tcW w:w="2410" w:type="dxa"/>
            <w:tcBorders>
              <w:top w:val="nil"/>
              <w:left w:val="nil"/>
              <w:bottom w:val="single" w:color="auto" w:sz="4" w:space="0"/>
              <w:right w:val="single" w:color="auto" w:sz="4" w:space="0"/>
            </w:tcBorders>
            <w:vAlign w:val="center"/>
          </w:tcPr>
          <w:p w14:paraId="18B8D901">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当主保护或断路器拒动，仍能可靠切除变压器区内及相邻故障，并确保变压器本身不被过电流、过负荷或接地故障损坏。含过流保护、接地零序保护、不接地保护等功能。至少含</w:t>
            </w:r>
            <w:r>
              <w:rPr>
                <w:rFonts w:ascii="Times New Roman" w:hAnsi="Times New Roman" w:eastAsia="宋体" w:cs="Times New Roman"/>
                <w:color w:val="000000" w:themeColor="text1"/>
                <w:kern w:val="0"/>
                <w:szCs w:val="21"/>
                <w:highlight w:val="none"/>
                <w14:textFill>
                  <w14:solidFill>
                    <w14:schemeClr w14:val="tx1"/>
                  </w14:solidFill>
                </w14:textFill>
              </w:rPr>
              <w:t>8</w:t>
            </w:r>
            <w:r>
              <w:rPr>
                <w:rFonts w:ascii="Times New Roman" w:hAnsi="宋体" w:eastAsia="宋体" w:cs="Times New Roman"/>
                <w:color w:val="000000" w:themeColor="text1"/>
                <w:kern w:val="0"/>
                <w:szCs w:val="21"/>
                <w:highlight w:val="none"/>
                <w14:textFill>
                  <w14:solidFill>
                    <w14:schemeClr w14:val="tx1"/>
                  </w14:solidFill>
                </w14:textFill>
              </w:rPr>
              <w:t>组电流</w:t>
            </w:r>
            <w:r>
              <w:rPr>
                <w:rFonts w:ascii="Times New Roman" w:hAnsi="Times New Roman" w:eastAsia="宋体" w:cs="Times New Roman"/>
                <w:color w:val="000000" w:themeColor="text1"/>
                <w:kern w:val="0"/>
                <w:szCs w:val="21"/>
                <w:highlight w:val="none"/>
                <w14:textFill>
                  <w14:solidFill>
                    <w14:schemeClr w14:val="tx1"/>
                  </w14:solidFill>
                </w14:textFill>
              </w:rPr>
              <w:t>4</w:t>
            </w:r>
            <w:r>
              <w:rPr>
                <w:rFonts w:ascii="Times New Roman" w:hAnsi="宋体" w:eastAsia="宋体" w:cs="Times New Roman"/>
                <w:color w:val="000000" w:themeColor="text1"/>
                <w:kern w:val="0"/>
                <w:szCs w:val="21"/>
                <w:highlight w:val="none"/>
                <w14:textFill>
                  <w14:solidFill>
                    <w14:schemeClr w14:val="tx1"/>
                  </w14:solidFill>
                </w14:textFill>
              </w:rPr>
              <w:t>组电压模拟量输入，</w:t>
            </w:r>
            <w:r>
              <w:rPr>
                <w:rFonts w:ascii="Times New Roman" w:hAnsi="Times New Roman" w:eastAsia="宋体" w:cs="Times New Roman"/>
                <w:color w:val="000000" w:themeColor="text1"/>
                <w:kern w:val="0"/>
                <w:szCs w:val="21"/>
                <w:highlight w:val="none"/>
                <w14:textFill>
                  <w14:solidFill>
                    <w14:schemeClr w14:val="tx1"/>
                  </w14:solidFill>
                </w14:textFill>
              </w:rPr>
              <w:t>15</w:t>
            </w:r>
            <w:r>
              <w:rPr>
                <w:rFonts w:ascii="Times New Roman" w:hAnsi="宋体" w:eastAsia="宋体" w:cs="Times New Roman"/>
                <w:color w:val="000000" w:themeColor="text1"/>
                <w:kern w:val="0"/>
                <w:szCs w:val="21"/>
                <w:highlight w:val="none"/>
                <w14:textFill>
                  <w14:solidFill>
                    <w14:schemeClr w14:val="tx1"/>
                  </w14:solidFill>
                </w14:textFill>
              </w:rPr>
              <w:t>个普通遥信开入，</w:t>
            </w:r>
            <w:r>
              <w:rPr>
                <w:rFonts w:ascii="Times New Roman" w:hAnsi="Times New Roman" w:eastAsia="宋体" w:cs="Times New Roman"/>
                <w:color w:val="000000" w:themeColor="text1"/>
                <w:kern w:val="0"/>
                <w:szCs w:val="21"/>
                <w:highlight w:val="none"/>
                <w14:textFill>
                  <w14:solidFill>
                    <w14:schemeClr w14:val="tx1"/>
                  </w14:solidFill>
                </w14:textFill>
              </w:rPr>
              <w:t>4</w:t>
            </w:r>
            <w:r>
              <w:rPr>
                <w:rFonts w:ascii="Times New Roman" w:hAnsi="宋体" w:eastAsia="宋体" w:cs="Times New Roman"/>
                <w:color w:val="000000" w:themeColor="text1"/>
                <w:kern w:val="0"/>
                <w:szCs w:val="21"/>
                <w:highlight w:val="none"/>
                <w14:textFill>
                  <w14:solidFill>
                    <w14:schemeClr w14:val="tx1"/>
                  </w14:solidFill>
                </w14:textFill>
              </w:rPr>
              <w:t>组遥控分合闸出口，</w:t>
            </w:r>
            <w:r>
              <w:rPr>
                <w:rFonts w:ascii="Times New Roman" w:hAnsi="Times New Roman" w:eastAsia="宋体" w:cs="Times New Roman"/>
                <w:color w:val="000000" w:themeColor="text1"/>
                <w:kern w:val="0"/>
                <w:szCs w:val="21"/>
                <w:highlight w:val="none"/>
                <w14:textFill>
                  <w14:solidFill>
                    <w14:schemeClr w14:val="tx1"/>
                  </w14:solidFill>
                </w14:textFill>
              </w:rPr>
              <w:t>6</w:t>
            </w:r>
            <w:r>
              <w:rPr>
                <w:rFonts w:ascii="Times New Roman" w:hAnsi="宋体" w:eastAsia="宋体" w:cs="Times New Roman"/>
                <w:color w:val="000000" w:themeColor="text1"/>
                <w:kern w:val="0"/>
                <w:szCs w:val="21"/>
                <w:highlight w:val="none"/>
                <w14:textFill>
                  <w14:solidFill>
                    <w14:schemeClr w14:val="tx1"/>
                  </w14:solidFill>
                </w14:textFill>
              </w:rPr>
              <w:t>组跳闸出口。装置具备对上</w:t>
            </w:r>
            <w:r>
              <w:rPr>
                <w:rFonts w:ascii="Times New Roman" w:hAnsi="Times New Roman" w:eastAsia="宋体" w:cs="Times New Roman"/>
                <w:color w:val="000000" w:themeColor="text1"/>
                <w:kern w:val="0"/>
                <w:szCs w:val="21"/>
                <w:highlight w:val="none"/>
                <w14:textFill>
                  <w14:solidFill>
                    <w14:schemeClr w14:val="tx1"/>
                  </w14:solidFill>
                </w14:textFill>
              </w:rPr>
              <w:t>IEC61850</w:t>
            </w:r>
            <w:r>
              <w:rPr>
                <w:rFonts w:ascii="Times New Roman" w:hAnsi="宋体" w:eastAsia="宋体" w:cs="Times New Roman"/>
                <w:color w:val="000000" w:themeColor="text1"/>
                <w:kern w:val="0"/>
                <w:szCs w:val="21"/>
                <w:highlight w:val="none"/>
                <w14:textFill>
                  <w14:solidFill>
                    <w14:schemeClr w14:val="tx1"/>
                  </w14:solidFill>
                </w14:textFill>
              </w:rPr>
              <w:t>和</w:t>
            </w:r>
            <w:r>
              <w:rPr>
                <w:rFonts w:ascii="Times New Roman" w:hAnsi="Times New Roman" w:eastAsia="宋体" w:cs="Times New Roman"/>
                <w:color w:val="000000" w:themeColor="text1"/>
                <w:kern w:val="0"/>
                <w:szCs w:val="21"/>
                <w:highlight w:val="none"/>
                <w14:textFill>
                  <w14:solidFill>
                    <w14:schemeClr w14:val="tx1"/>
                  </w14:solidFill>
                </w14:textFill>
              </w:rPr>
              <w:t>modbus rtu</w:t>
            </w:r>
            <w:r>
              <w:rPr>
                <w:rFonts w:ascii="Times New Roman" w:hAnsi="宋体" w:eastAsia="宋体" w:cs="Times New Roman"/>
                <w:color w:val="000000" w:themeColor="text1"/>
                <w:kern w:val="0"/>
                <w:szCs w:val="21"/>
                <w:highlight w:val="none"/>
                <w14:textFill>
                  <w14:solidFill>
                    <w14:schemeClr w14:val="tx1"/>
                  </w14:solidFill>
                </w14:textFill>
              </w:rPr>
              <w:t>等通讯功能。</w:t>
            </w:r>
          </w:p>
        </w:tc>
        <w:tc>
          <w:tcPr>
            <w:tcW w:w="850" w:type="dxa"/>
            <w:tcBorders>
              <w:top w:val="nil"/>
              <w:left w:val="nil"/>
              <w:bottom w:val="single" w:color="auto" w:sz="4" w:space="0"/>
              <w:right w:val="single" w:color="auto" w:sz="4" w:space="0"/>
            </w:tcBorders>
            <w:vAlign w:val="center"/>
          </w:tcPr>
          <w:p w14:paraId="06E1DD1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51A3B65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34" w:type="dxa"/>
            <w:tcBorders>
              <w:top w:val="nil"/>
              <w:left w:val="nil"/>
              <w:bottom w:val="single" w:color="auto" w:sz="4" w:space="0"/>
              <w:right w:val="single" w:color="auto" w:sz="4" w:space="0"/>
            </w:tcBorders>
            <w:noWrap/>
            <w:vAlign w:val="center"/>
          </w:tcPr>
          <w:p w14:paraId="1590003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73D2E2F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642CAC0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480D7FF">
        <w:tblPrEx>
          <w:tblCellMar>
            <w:top w:w="0" w:type="dxa"/>
            <w:left w:w="108" w:type="dxa"/>
            <w:bottom w:w="0" w:type="dxa"/>
            <w:right w:w="108" w:type="dxa"/>
          </w:tblCellMar>
        </w:tblPrEx>
        <w:trPr>
          <w:cantSplit/>
          <w:trHeight w:val="2571" w:hRule="atLeast"/>
        </w:trPr>
        <w:tc>
          <w:tcPr>
            <w:tcW w:w="704" w:type="dxa"/>
            <w:tcBorders>
              <w:top w:val="single" w:color="auto" w:sz="4" w:space="0"/>
              <w:left w:val="single" w:color="auto" w:sz="4" w:space="0"/>
              <w:bottom w:val="single" w:color="auto" w:sz="4" w:space="0"/>
              <w:right w:val="single" w:color="auto" w:sz="4" w:space="0"/>
            </w:tcBorders>
            <w:vAlign w:val="center"/>
          </w:tcPr>
          <w:p w14:paraId="4576D3C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single" w:color="auto" w:sz="4" w:space="0"/>
              <w:left w:val="nil"/>
              <w:bottom w:val="single" w:color="auto" w:sz="4" w:space="0"/>
              <w:right w:val="single" w:color="auto" w:sz="4" w:space="0"/>
            </w:tcBorders>
            <w:vAlign w:val="center"/>
          </w:tcPr>
          <w:p w14:paraId="54658648">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低压侧后备保护</w:t>
            </w:r>
          </w:p>
        </w:tc>
        <w:tc>
          <w:tcPr>
            <w:tcW w:w="2410" w:type="dxa"/>
            <w:tcBorders>
              <w:top w:val="single" w:color="auto" w:sz="4" w:space="0"/>
              <w:left w:val="nil"/>
              <w:bottom w:val="single" w:color="auto" w:sz="4" w:space="0"/>
              <w:right w:val="single" w:color="auto" w:sz="4" w:space="0"/>
            </w:tcBorders>
            <w:vAlign w:val="center"/>
          </w:tcPr>
          <w:p w14:paraId="061607F1">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当低压侧母线、馈线或变压器内部故障而主保护或断路器拒动时，就地切除故障；同时防止变压器低压绕组和所连设备因过流、接地、过负荷受损。含三段复压过流保护、零序过流保护，过负荷保护等功能。装置具备对上</w:t>
            </w:r>
            <w:r>
              <w:rPr>
                <w:rFonts w:ascii="Times New Roman" w:hAnsi="Times New Roman" w:eastAsia="宋体" w:cs="Times New Roman"/>
                <w:color w:val="000000" w:themeColor="text1"/>
                <w:kern w:val="0"/>
                <w:szCs w:val="21"/>
                <w:highlight w:val="none"/>
                <w14:textFill>
                  <w14:solidFill>
                    <w14:schemeClr w14:val="tx1"/>
                  </w14:solidFill>
                </w14:textFill>
              </w:rPr>
              <w:t>IEC61850</w:t>
            </w:r>
            <w:r>
              <w:rPr>
                <w:rFonts w:ascii="Times New Roman" w:hAnsi="宋体" w:eastAsia="宋体" w:cs="Times New Roman"/>
                <w:color w:val="000000" w:themeColor="text1"/>
                <w:kern w:val="0"/>
                <w:szCs w:val="21"/>
                <w:highlight w:val="none"/>
                <w14:textFill>
                  <w14:solidFill>
                    <w14:schemeClr w14:val="tx1"/>
                  </w14:solidFill>
                </w14:textFill>
              </w:rPr>
              <w:t>和</w:t>
            </w:r>
            <w:r>
              <w:rPr>
                <w:rFonts w:ascii="Times New Roman" w:hAnsi="Times New Roman" w:eastAsia="宋体" w:cs="Times New Roman"/>
                <w:color w:val="000000" w:themeColor="text1"/>
                <w:kern w:val="0"/>
                <w:szCs w:val="21"/>
                <w:highlight w:val="none"/>
                <w14:textFill>
                  <w14:solidFill>
                    <w14:schemeClr w14:val="tx1"/>
                  </w14:solidFill>
                </w14:textFill>
              </w:rPr>
              <w:t>modbus rtu</w:t>
            </w:r>
            <w:r>
              <w:rPr>
                <w:rFonts w:ascii="Times New Roman" w:hAnsi="宋体" w:eastAsia="宋体" w:cs="Times New Roman"/>
                <w:color w:val="000000" w:themeColor="text1"/>
                <w:kern w:val="0"/>
                <w:szCs w:val="21"/>
                <w:highlight w:val="none"/>
                <w14:textFill>
                  <w14:solidFill>
                    <w14:schemeClr w14:val="tx1"/>
                  </w14:solidFill>
                </w14:textFill>
              </w:rPr>
              <w:t>等通讯功能。</w:t>
            </w:r>
          </w:p>
        </w:tc>
        <w:tc>
          <w:tcPr>
            <w:tcW w:w="850" w:type="dxa"/>
            <w:tcBorders>
              <w:top w:val="single" w:color="auto" w:sz="4" w:space="0"/>
              <w:left w:val="nil"/>
              <w:bottom w:val="single" w:color="auto" w:sz="4" w:space="0"/>
              <w:right w:val="single" w:color="auto" w:sz="4" w:space="0"/>
            </w:tcBorders>
            <w:vAlign w:val="center"/>
          </w:tcPr>
          <w:p w14:paraId="1BDBB75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single" w:color="auto" w:sz="4" w:space="0"/>
              <w:left w:val="nil"/>
              <w:bottom w:val="single" w:color="auto" w:sz="4" w:space="0"/>
              <w:right w:val="single" w:color="auto" w:sz="4" w:space="0"/>
            </w:tcBorders>
            <w:vAlign w:val="center"/>
          </w:tcPr>
          <w:p w14:paraId="726E567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7DB4774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182E668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592066C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3A72E8E">
        <w:tblPrEx>
          <w:tblCellMar>
            <w:top w:w="0" w:type="dxa"/>
            <w:left w:w="108" w:type="dxa"/>
            <w:bottom w:w="0" w:type="dxa"/>
            <w:right w:w="108" w:type="dxa"/>
          </w:tblCellMar>
        </w:tblPrEx>
        <w:trPr>
          <w:cantSplit/>
          <w:trHeight w:val="1553" w:hRule="atLeast"/>
        </w:trPr>
        <w:tc>
          <w:tcPr>
            <w:tcW w:w="704" w:type="dxa"/>
            <w:tcBorders>
              <w:top w:val="nil"/>
              <w:left w:val="single" w:color="auto" w:sz="4" w:space="0"/>
              <w:bottom w:val="single" w:color="auto" w:sz="4" w:space="0"/>
              <w:right w:val="single" w:color="auto" w:sz="4" w:space="0"/>
            </w:tcBorders>
            <w:vAlign w:val="center"/>
          </w:tcPr>
          <w:p w14:paraId="11DB9CE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5794EF3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操作箱（含非电量保护）</w:t>
            </w:r>
          </w:p>
        </w:tc>
        <w:tc>
          <w:tcPr>
            <w:tcW w:w="2410" w:type="dxa"/>
            <w:tcBorders>
              <w:top w:val="nil"/>
              <w:left w:val="nil"/>
              <w:bottom w:val="single" w:color="auto" w:sz="4" w:space="0"/>
              <w:right w:val="single" w:color="auto" w:sz="4" w:space="0"/>
            </w:tcBorders>
            <w:vAlign w:val="center"/>
          </w:tcPr>
          <w:p w14:paraId="4F7B1A3D">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在接到任何分、合闸命令后，可靠完成断路器的分闸、合闸及自动重合闸动作，并实时监视自身二次回路、能源系统及断路器状态，异常立即告警或闭锁。</w:t>
            </w:r>
            <w:r>
              <w:rPr>
                <w:rFonts w:ascii="Times New Roman" w:hAnsi="Times New Roman" w:eastAsia="宋体" w:cs="Times New Roman"/>
                <w:color w:val="000000" w:themeColor="text1"/>
                <w:kern w:val="0"/>
                <w:szCs w:val="21"/>
                <w:highlight w:val="none"/>
                <w14:textFill>
                  <w14:solidFill>
                    <w14:schemeClr w14:val="tx1"/>
                  </w14:solidFill>
                </w14:textFill>
              </w:rPr>
              <w:t xml:space="preserve">12 </w:t>
            </w:r>
            <w:r>
              <w:rPr>
                <w:rFonts w:ascii="Times New Roman" w:hAnsi="宋体" w:eastAsia="宋体" w:cs="Times New Roman"/>
                <w:color w:val="000000" w:themeColor="text1"/>
                <w:kern w:val="0"/>
                <w:szCs w:val="21"/>
                <w:highlight w:val="none"/>
                <w14:textFill>
                  <w14:solidFill>
                    <w14:schemeClr w14:val="tx1"/>
                  </w14:solidFill>
                </w14:textFill>
              </w:rPr>
              <w:t>路非电量保护装置有三路不按相操作断路器的独立的跳合闸操作回路。两个电压切换回路。装置具备对上</w:t>
            </w:r>
            <w:r>
              <w:rPr>
                <w:rFonts w:ascii="Times New Roman" w:hAnsi="Times New Roman" w:eastAsia="宋体" w:cs="Times New Roman"/>
                <w:color w:val="000000" w:themeColor="text1"/>
                <w:kern w:val="0"/>
                <w:szCs w:val="21"/>
                <w:highlight w:val="none"/>
                <w14:textFill>
                  <w14:solidFill>
                    <w14:schemeClr w14:val="tx1"/>
                  </w14:solidFill>
                </w14:textFill>
              </w:rPr>
              <w:t>IEC61850</w:t>
            </w:r>
            <w:r>
              <w:rPr>
                <w:rFonts w:ascii="Times New Roman" w:hAnsi="宋体" w:eastAsia="宋体" w:cs="Times New Roman"/>
                <w:color w:val="000000" w:themeColor="text1"/>
                <w:kern w:val="0"/>
                <w:szCs w:val="21"/>
                <w:highlight w:val="none"/>
                <w14:textFill>
                  <w14:solidFill>
                    <w14:schemeClr w14:val="tx1"/>
                  </w14:solidFill>
                </w14:textFill>
              </w:rPr>
              <w:t>和</w:t>
            </w:r>
            <w:r>
              <w:rPr>
                <w:rFonts w:ascii="Times New Roman" w:hAnsi="Times New Roman" w:eastAsia="宋体" w:cs="Times New Roman"/>
                <w:color w:val="000000" w:themeColor="text1"/>
                <w:kern w:val="0"/>
                <w:szCs w:val="21"/>
                <w:highlight w:val="none"/>
                <w14:textFill>
                  <w14:solidFill>
                    <w14:schemeClr w14:val="tx1"/>
                  </w14:solidFill>
                </w14:textFill>
              </w:rPr>
              <w:t>modbus rtu</w:t>
            </w:r>
            <w:r>
              <w:rPr>
                <w:rFonts w:ascii="Times New Roman" w:hAnsi="宋体" w:eastAsia="宋体" w:cs="Times New Roman"/>
                <w:color w:val="000000" w:themeColor="text1"/>
                <w:kern w:val="0"/>
                <w:szCs w:val="21"/>
                <w:highlight w:val="none"/>
                <w14:textFill>
                  <w14:solidFill>
                    <w14:schemeClr w14:val="tx1"/>
                  </w14:solidFill>
                </w14:textFill>
              </w:rPr>
              <w:t>等通讯功能。</w:t>
            </w:r>
          </w:p>
        </w:tc>
        <w:tc>
          <w:tcPr>
            <w:tcW w:w="850" w:type="dxa"/>
            <w:tcBorders>
              <w:top w:val="nil"/>
              <w:left w:val="nil"/>
              <w:bottom w:val="single" w:color="auto" w:sz="4" w:space="0"/>
              <w:right w:val="single" w:color="auto" w:sz="4" w:space="0"/>
            </w:tcBorders>
            <w:vAlign w:val="center"/>
          </w:tcPr>
          <w:p w14:paraId="2ADBE6F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3D81E6A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34" w:type="dxa"/>
            <w:tcBorders>
              <w:top w:val="nil"/>
              <w:left w:val="nil"/>
              <w:bottom w:val="single" w:color="auto" w:sz="4" w:space="0"/>
              <w:right w:val="single" w:color="auto" w:sz="4" w:space="0"/>
            </w:tcBorders>
            <w:noWrap/>
            <w:vAlign w:val="center"/>
          </w:tcPr>
          <w:p w14:paraId="178AEF5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53BC4BE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110D638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1063ECCC">
        <w:tblPrEx>
          <w:tblCellMar>
            <w:top w:w="0" w:type="dxa"/>
            <w:left w:w="108" w:type="dxa"/>
            <w:bottom w:w="0" w:type="dxa"/>
            <w:right w:w="108" w:type="dxa"/>
          </w:tblCellMar>
        </w:tblPrEx>
        <w:trPr>
          <w:cantSplit/>
          <w:trHeight w:val="280" w:hRule="atLeast"/>
        </w:trPr>
        <w:tc>
          <w:tcPr>
            <w:tcW w:w="704" w:type="dxa"/>
            <w:tcBorders>
              <w:top w:val="single" w:color="auto" w:sz="4" w:space="0"/>
              <w:left w:val="single" w:color="auto" w:sz="4" w:space="0"/>
              <w:bottom w:val="single" w:color="auto" w:sz="4" w:space="0"/>
              <w:right w:val="single" w:color="auto" w:sz="4" w:space="0"/>
            </w:tcBorders>
            <w:vAlign w:val="center"/>
          </w:tcPr>
          <w:p w14:paraId="061E856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r>
              <w:rPr>
                <w:rFonts w:ascii="Times New Roman" w:hAnsi="Times New Roman" w:eastAsia="宋体" w:cs="Times New Roman"/>
                <w:color w:val="000000" w:themeColor="text1"/>
                <w:kern w:val="0"/>
                <w:szCs w:val="21"/>
                <w:highlight w:val="none"/>
                <w14:textFill>
                  <w14:solidFill>
                    <w14:schemeClr w14:val="tx1"/>
                  </w14:solidFill>
                </w14:textFill>
              </w:rPr>
              <w:t>(5)</w:t>
            </w:r>
          </w:p>
        </w:tc>
        <w:tc>
          <w:tcPr>
            <w:tcW w:w="1276" w:type="dxa"/>
            <w:tcBorders>
              <w:top w:val="single" w:color="auto" w:sz="4" w:space="0"/>
              <w:left w:val="nil"/>
              <w:bottom w:val="single" w:color="auto" w:sz="4" w:space="0"/>
              <w:right w:val="single" w:color="auto" w:sz="4" w:space="0"/>
            </w:tcBorders>
            <w:vAlign w:val="center"/>
          </w:tcPr>
          <w:p w14:paraId="2F36DAC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屏柜及二次配件</w:t>
            </w:r>
          </w:p>
        </w:tc>
        <w:tc>
          <w:tcPr>
            <w:tcW w:w="2410" w:type="dxa"/>
            <w:tcBorders>
              <w:top w:val="single" w:color="auto" w:sz="4" w:space="0"/>
              <w:left w:val="nil"/>
              <w:bottom w:val="single" w:color="auto" w:sz="4" w:space="0"/>
              <w:right w:val="single" w:color="auto" w:sz="4" w:space="0"/>
            </w:tcBorders>
            <w:vAlign w:val="center"/>
          </w:tcPr>
          <w:p w14:paraId="36E50FEE">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屏体</w:t>
            </w:r>
            <w:r>
              <w:rPr>
                <w:rFonts w:ascii="Times New Roman" w:hAnsi="Times New Roman" w:eastAsia="宋体" w:cs="Times New Roman"/>
                <w:color w:val="000000" w:themeColor="text1"/>
                <w:kern w:val="0"/>
                <w:szCs w:val="21"/>
                <w:highlight w:val="none"/>
                <w14:textFill>
                  <w14:solidFill>
                    <w14:schemeClr w14:val="tx1"/>
                  </w14:solidFill>
                </w14:textFill>
              </w:rPr>
              <w:t>2260*800*600mm</w:t>
            </w:r>
            <w:r>
              <w:rPr>
                <w:rFonts w:ascii="Times New Roman" w:hAnsi="宋体" w:eastAsia="宋体" w:cs="Times New Roman"/>
                <w:color w:val="000000" w:themeColor="text1"/>
                <w:kern w:val="0"/>
                <w:szCs w:val="21"/>
                <w:highlight w:val="none"/>
                <w14:textFill>
                  <w14:solidFill>
                    <w14:schemeClr w14:val="tx1"/>
                  </w14:solidFill>
                </w14:textFill>
              </w:rPr>
              <w:t>，含端子排、照明、温湿度控制、加热器等。</w:t>
            </w:r>
          </w:p>
        </w:tc>
        <w:tc>
          <w:tcPr>
            <w:tcW w:w="850" w:type="dxa"/>
            <w:tcBorders>
              <w:top w:val="single" w:color="auto" w:sz="4" w:space="0"/>
              <w:left w:val="nil"/>
              <w:bottom w:val="single" w:color="auto" w:sz="4" w:space="0"/>
              <w:right w:val="single" w:color="auto" w:sz="4" w:space="0"/>
            </w:tcBorders>
            <w:vAlign w:val="center"/>
          </w:tcPr>
          <w:p w14:paraId="6928DC9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面</w:t>
            </w:r>
          </w:p>
        </w:tc>
        <w:tc>
          <w:tcPr>
            <w:tcW w:w="992" w:type="dxa"/>
            <w:tcBorders>
              <w:top w:val="single" w:color="auto" w:sz="4" w:space="0"/>
              <w:left w:val="nil"/>
              <w:bottom w:val="single" w:color="auto" w:sz="4" w:space="0"/>
              <w:right w:val="single" w:color="auto" w:sz="4" w:space="0"/>
            </w:tcBorders>
            <w:vAlign w:val="center"/>
          </w:tcPr>
          <w:p w14:paraId="24DF60C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34" w:type="dxa"/>
            <w:tcBorders>
              <w:top w:val="single" w:color="auto" w:sz="4" w:space="0"/>
              <w:left w:val="nil"/>
              <w:bottom w:val="single" w:color="auto" w:sz="4" w:space="0"/>
              <w:right w:val="single" w:color="auto" w:sz="4" w:space="0"/>
            </w:tcBorders>
            <w:noWrap/>
            <w:vAlign w:val="center"/>
          </w:tcPr>
          <w:p w14:paraId="0215811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vAlign w:val="center"/>
          </w:tcPr>
          <w:p w14:paraId="27A6309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single" w:color="auto" w:sz="4" w:space="0"/>
              <w:left w:val="nil"/>
              <w:bottom w:val="single" w:color="auto" w:sz="4" w:space="0"/>
              <w:right w:val="single" w:color="auto" w:sz="4" w:space="0"/>
            </w:tcBorders>
            <w:vAlign w:val="center"/>
          </w:tcPr>
          <w:p w14:paraId="55961F9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475B7237">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61D1043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7762783D">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直流屏</w:t>
            </w:r>
          </w:p>
        </w:tc>
        <w:tc>
          <w:tcPr>
            <w:tcW w:w="2410" w:type="dxa"/>
            <w:tcBorders>
              <w:top w:val="nil"/>
              <w:left w:val="nil"/>
              <w:bottom w:val="single" w:color="auto" w:sz="4" w:space="0"/>
              <w:right w:val="single" w:color="auto" w:sz="4" w:space="0"/>
            </w:tcBorders>
            <w:vAlign w:val="center"/>
          </w:tcPr>
          <w:p w14:paraId="2E6F911E">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充电屏及馈电屏整体更换，电池屏仅更换屏体。详见附表二：直流屏配置表</w:t>
            </w:r>
          </w:p>
        </w:tc>
        <w:tc>
          <w:tcPr>
            <w:tcW w:w="850" w:type="dxa"/>
            <w:tcBorders>
              <w:top w:val="nil"/>
              <w:left w:val="nil"/>
              <w:bottom w:val="single" w:color="auto" w:sz="4" w:space="0"/>
              <w:right w:val="single" w:color="auto" w:sz="4" w:space="0"/>
            </w:tcBorders>
            <w:vAlign w:val="center"/>
          </w:tcPr>
          <w:p w14:paraId="4DC9684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26979FC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4396B61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4F08C32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41617EC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p>
        </w:tc>
      </w:tr>
      <w:tr w14:paraId="0285FD24">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30FA98A0">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vAlign w:val="center"/>
          </w:tcPr>
          <w:p w14:paraId="66F497A9">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安装施工、调试</w:t>
            </w:r>
          </w:p>
        </w:tc>
        <w:tc>
          <w:tcPr>
            <w:tcW w:w="2410" w:type="dxa"/>
            <w:tcBorders>
              <w:top w:val="nil"/>
              <w:left w:val="nil"/>
              <w:bottom w:val="single" w:color="auto" w:sz="4" w:space="0"/>
              <w:right w:val="single" w:color="auto" w:sz="4" w:space="0"/>
            </w:tcBorders>
            <w:vAlign w:val="center"/>
          </w:tcPr>
          <w:p w14:paraId="6909D7FF">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含原有屏体、线缆等拆除、新屏体安装、接线、调试。</w:t>
            </w:r>
          </w:p>
        </w:tc>
        <w:tc>
          <w:tcPr>
            <w:tcW w:w="850" w:type="dxa"/>
            <w:tcBorders>
              <w:top w:val="nil"/>
              <w:left w:val="nil"/>
              <w:bottom w:val="single" w:color="auto" w:sz="4" w:space="0"/>
              <w:right w:val="single" w:color="auto" w:sz="4" w:space="0"/>
            </w:tcBorders>
            <w:vAlign w:val="center"/>
          </w:tcPr>
          <w:p w14:paraId="5371971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577E8CC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64D4878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21DD333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7FBB965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DA36B1A">
        <w:tblPrEx>
          <w:tblCellMar>
            <w:top w:w="0" w:type="dxa"/>
            <w:left w:w="108" w:type="dxa"/>
            <w:bottom w:w="0" w:type="dxa"/>
            <w:right w:w="108" w:type="dxa"/>
          </w:tblCellMar>
        </w:tblPrEx>
        <w:trPr>
          <w:cantSplit/>
          <w:trHeight w:val="520" w:hRule="atLeast"/>
        </w:trPr>
        <w:tc>
          <w:tcPr>
            <w:tcW w:w="704" w:type="dxa"/>
            <w:tcBorders>
              <w:top w:val="nil"/>
              <w:left w:val="single" w:color="auto" w:sz="4" w:space="0"/>
              <w:bottom w:val="single" w:color="auto" w:sz="4" w:space="0"/>
              <w:right w:val="single" w:color="auto" w:sz="4" w:space="0"/>
            </w:tcBorders>
            <w:noWrap/>
            <w:vAlign w:val="center"/>
          </w:tcPr>
          <w:p w14:paraId="5E35C9D9">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三</w:t>
            </w:r>
          </w:p>
        </w:tc>
        <w:tc>
          <w:tcPr>
            <w:tcW w:w="1276" w:type="dxa"/>
            <w:tcBorders>
              <w:top w:val="nil"/>
              <w:left w:val="nil"/>
              <w:bottom w:val="single" w:color="auto" w:sz="4" w:space="0"/>
              <w:right w:val="single" w:color="auto" w:sz="4" w:space="0"/>
            </w:tcBorders>
            <w:vAlign w:val="center"/>
          </w:tcPr>
          <w:p w14:paraId="477136F0">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6kV</w:t>
            </w:r>
            <w:r>
              <w:rPr>
                <w:rFonts w:ascii="Times New Roman" w:hAnsi="宋体" w:eastAsia="宋体" w:cs="Times New Roman"/>
                <w:b/>
                <w:bCs/>
                <w:color w:val="000000" w:themeColor="text1"/>
                <w:kern w:val="0"/>
                <w:szCs w:val="21"/>
                <w:highlight w:val="none"/>
                <w14:textFill>
                  <w14:solidFill>
                    <w14:schemeClr w14:val="tx1"/>
                  </w14:solidFill>
                </w14:textFill>
              </w:rPr>
              <w:t>高压开关柜</w:t>
            </w:r>
          </w:p>
        </w:tc>
        <w:tc>
          <w:tcPr>
            <w:tcW w:w="2410" w:type="dxa"/>
            <w:tcBorders>
              <w:top w:val="nil"/>
              <w:left w:val="nil"/>
              <w:bottom w:val="single" w:color="auto" w:sz="4" w:space="0"/>
              <w:right w:val="single" w:color="auto" w:sz="4" w:space="0"/>
            </w:tcBorders>
            <w:vAlign w:val="center"/>
          </w:tcPr>
          <w:p w14:paraId="06072B52">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Ⅱ</w:t>
            </w:r>
            <w:r>
              <w:rPr>
                <w:rFonts w:ascii="Times New Roman" w:hAnsi="宋体" w:eastAsia="宋体" w:cs="Times New Roman"/>
                <w:color w:val="000000" w:themeColor="text1"/>
                <w:kern w:val="0"/>
                <w:szCs w:val="21"/>
                <w:highlight w:val="none"/>
                <w14:textFill>
                  <w14:solidFill>
                    <w14:schemeClr w14:val="tx1"/>
                  </w14:solidFill>
                </w14:textFill>
              </w:rPr>
              <w:t>段</w:t>
            </w:r>
            <w:r>
              <w:rPr>
                <w:rFonts w:ascii="Times New Roman" w:hAnsi="Times New Roman" w:eastAsia="宋体" w:cs="Times New Roman"/>
                <w:color w:val="000000" w:themeColor="text1"/>
                <w:kern w:val="0"/>
                <w:szCs w:val="21"/>
                <w:highlight w:val="none"/>
                <w14:textFill>
                  <w14:solidFill>
                    <w14:schemeClr w14:val="tx1"/>
                  </w14:solidFill>
                </w14:textFill>
              </w:rPr>
              <w:t>Ⅲ</w:t>
            </w:r>
            <w:r>
              <w:rPr>
                <w:rFonts w:ascii="Times New Roman" w:hAnsi="宋体" w:eastAsia="宋体" w:cs="Times New Roman"/>
                <w:color w:val="000000" w:themeColor="text1"/>
                <w:kern w:val="0"/>
                <w:szCs w:val="21"/>
                <w:highlight w:val="none"/>
                <w14:textFill>
                  <w14:solidFill>
                    <w14:schemeClr w14:val="tx1"/>
                  </w14:solidFill>
                </w14:textFill>
              </w:rPr>
              <w:t>段母线联络开关柜</w:t>
            </w:r>
            <w:r>
              <w:rPr>
                <w:rFonts w:ascii="Times New Roman" w:hAnsi="Times New Roman" w:eastAsia="宋体" w:cs="Times New Roman"/>
                <w:color w:val="000000" w:themeColor="text1"/>
                <w:kern w:val="0"/>
                <w:szCs w:val="21"/>
                <w:highlight w:val="none"/>
                <w14:textFill>
                  <w14:solidFill>
                    <w14:schemeClr w14:val="tx1"/>
                  </w14:solidFill>
                </w14:textFill>
              </w:rPr>
              <w:t>6kv</w:t>
            </w:r>
            <w:r>
              <w:rPr>
                <w:rFonts w:ascii="Times New Roman" w:hAnsi="宋体" w:eastAsia="宋体" w:cs="Times New Roman"/>
                <w:color w:val="000000" w:themeColor="text1"/>
                <w:kern w:val="0"/>
                <w:szCs w:val="21"/>
                <w:highlight w:val="none"/>
                <w14:textFill>
                  <w14:solidFill>
                    <w14:schemeClr w14:val="tx1"/>
                  </w14:solidFill>
                </w14:textFill>
              </w:rPr>
              <w:t>断路器更换。</w:t>
            </w:r>
          </w:p>
        </w:tc>
        <w:tc>
          <w:tcPr>
            <w:tcW w:w="850" w:type="dxa"/>
            <w:tcBorders>
              <w:top w:val="nil"/>
              <w:left w:val="nil"/>
              <w:bottom w:val="single" w:color="auto" w:sz="4" w:space="0"/>
              <w:right w:val="single" w:color="auto" w:sz="4" w:space="0"/>
            </w:tcBorders>
            <w:vAlign w:val="center"/>
          </w:tcPr>
          <w:p w14:paraId="69D5014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台</w:t>
            </w:r>
          </w:p>
        </w:tc>
        <w:tc>
          <w:tcPr>
            <w:tcW w:w="992" w:type="dxa"/>
            <w:tcBorders>
              <w:top w:val="nil"/>
              <w:left w:val="nil"/>
              <w:bottom w:val="single" w:color="auto" w:sz="4" w:space="0"/>
              <w:right w:val="single" w:color="auto" w:sz="4" w:space="0"/>
            </w:tcBorders>
            <w:vAlign w:val="center"/>
          </w:tcPr>
          <w:p w14:paraId="00E16A6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34" w:type="dxa"/>
            <w:tcBorders>
              <w:top w:val="nil"/>
              <w:left w:val="nil"/>
              <w:bottom w:val="single" w:color="auto" w:sz="4" w:space="0"/>
              <w:right w:val="single" w:color="auto" w:sz="4" w:space="0"/>
            </w:tcBorders>
            <w:vAlign w:val="center"/>
          </w:tcPr>
          <w:p w14:paraId="71C2EF8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6B1134E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vAlign w:val="center"/>
          </w:tcPr>
          <w:p w14:paraId="1A98DEE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7E62CC9">
        <w:tblPrEx>
          <w:tblCellMar>
            <w:top w:w="0" w:type="dxa"/>
            <w:left w:w="108" w:type="dxa"/>
            <w:bottom w:w="0" w:type="dxa"/>
            <w:right w:w="108" w:type="dxa"/>
          </w:tblCellMar>
        </w:tblPrEx>
        <w:trPr>
          <w:cantSplit/>
          <w:trHeight w:val="524" w:hRule="atLeast"/>
        </w:trPr>
        <w:tc>
          <w:tcPr>
            <w:tcW w:w="704" w:type="dxa"/>
            <w:tcBorders>
              <w:top w:val="nil"/>
              <w:left w:val="single" w:color="auto" w:sz="4" w:space="0"/>
              <w:bottom w:val="single" w:color="auto" w:sz="4" w:space="0"/>
              <w:right w:val="single" w:color="auto" w:sz="4" w:space="0"/>
            </w:tcBorders>
            <w:noWrap/>
            <w:vAlign w:val="bottom"/>
          </w:tcPr>
          <w:p w14:paraId="1DF4782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noWrap/>
            <w:vAlign w:val="center"/>
          </w:tcPr>
          <w:p w14:paraId="76F1F363">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总计</w:t>
            </w:r>
          </w:p>
        </w:tc>
        <w:tc>
          <w:tcPr>
            <w:tcW w:w="2410" w:type="dxa"/>
            <w:tcBorders>
              <w:top w:val="nil"/>
              <w:left w:val="nil"/>
              <w:bottom w:val="single" w:color="auto" w:sz="4" w:space="0"/>
              <w:right w:val="single" w:color="auto" w:sz="4" w:space="0"/>
            </w:tcBorders>
            <w:noWrap/>
            <w:vAlign w:val="bottom"/>
          </w:tcPr>
          <w:p w14:paraId="7E731448">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50" w:type="dxa"/>
            <w:tcBorders>
              <w:top w:val="nil"/>
              <w:left w:val="nil"/>
              <w:bottom w:val="single" w:color="auto" w:sz="4" w:space="0"/>
              <w:right w:val="single" w:color="auto" w:sz="4" w:space="0"/>
            </w:tcBorders>
            <w:noWrap/>
            <w:vAlign w:val="bottom"/>
          </w:tcPr>
          <w:p w14:paraId="1D9D094F">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1F10C91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699BE2C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83" w:type="dxa"/>
            <w:tcBorders>
              <w:top w:val="nil"/>
              <w:left w:val="nil"/>
              <w:bottom w:val="single" w:color="auto" w:sz="4" w:space="0"/>
              <w:right w:val="single" w:color="auto" w:sz="4" w:space="0"/>
            </w:tcBorders>
            <w:vAlign w:val="center"/>
          </w:tcPr>
          <w:p w14:paraId="09D52A14">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868" w:type="dxa"/>
            <w:tcBorders>
              <w:top w:val="nil"/>
              <w:left w:val="nil"/>
              <w:bottom w:val="single" w:color="auto" w:sz="4" w:space="0"/>
              <w:right w:val="single" w:color="auto" w:sz="4" w:space="0"/>
            </w:tcBorders>
            <w:noWrap/>
            <w:vAlign w:val="bottom"/>
          </w:tcPr>
          <w:p w14:paraId="5A474FB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bl>
    <w:p w14:paraId="0B0EF46A">
      <w:pPr>
        <w:widowControl/>
        <w:jc w:val="left"/>
        <w:textAlignment w:val="center"/>
        <w:rPr>
          <w:rFonts w:ascii="Times New Roman" w:hAnsi="Times New Roman" w:cs="Times New Roman"/>
          <w:color w:val="000000" w:themeColor="text1"/>
          <w:szCs w:val="21"/>
          <w:highlight w:val="none"/>
          <w14:textFill>
            <w14:solidFill>
              <w14:schemeClr w14:val="tx1"/>
            </w14:solidFill>
          </w14:textFill>
        </w:rPr>
      </w:pPr>
    </w:p>
    <w:tbl>
      <w:tblPr>
        <w:tblStyle w:val="51"/>
        <w:tblW w:w="0" w:type="auto"/>
        <w:tblInd w:w="108" w:type="dxa"/>
        <w:tblLayout w:type="fixed"/>
        <w:tblCellMar>
          <w:top w:w="0" w:type="dxa"/>
          <w:left w:w="108" w:type="dxa"/>
          <w:bottom w:w="0" w:type="dxa"/>
          <w:right w:w="108" w:type="dxa"/>
        </w:tblCellMar>
      </w:tblPr>
      <w:tblGrid>
        <w:gridCol w:w="709"/>
        <w:gridCol w:w="1276"/>
        <w:gridCol w:w="2114"/>
        <w:gridCol w:w="863"/>
        <w:gridCol w:w="992"/>
        <w:gridCol w:w="1276"/>
        <w:gridCol w:w="1134"/>
        <w:gridCol w:w="758"/>
      </w:tblGrid>
      <w:tr w14:paraId="24841A39">
        <w:tblPrEx>
          <w:tblCellMar>
            <w:top w:w="0" w:type="dxa"/>
            <w:left w:w="108" w:type="dxa"/>
            <w:bottom w:w="0" w:type="dxa"/>
            <w:right w:w="108" w:type="dxa"/>
          </w:tblCellMar>
        </w:tblPrEx>
        <w:trPr>
          <w:cantSplit/>
          <w:trHeight w:val="280" w:hRule="atLeast"/>
        </w:trPr>
        <w:tc>
          <w:tcPr>
            <w:tcW w:w="9122" w:type="dxa"/>
            <w:gridSpan w:val="8"/>
            <w:tcBorders>
              <w:top w:val="nil"/>
              <w:left w:val="nil"/>
              <w:bottom w:val="single" w:color="auto" w:sz="4" w:space="0"/>
              <w:right w:val="nil"/>
            </w:tcBorders>
            <w:noWrap/>
            <w:vAlign w:val="bottom"/>
          </w:tcPr>
          <w:p w14:paraId="6EF280CF">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附表一：</w:t>
            </w:r>
            <w:r>
              <w:rPr>
                <w:rFonts w:ascii="Times New Roman" w:hAnsi="Times New Roman" w:eastAsia="宋体" w:cs="Times New Roman"/>
                <w:b/>
                <w:bCs/>
                <w:color w:val="000000" w:themeColor="text1"/>
                <w:kern w:val="0"/>
                <w:szCs w:val="21"/>
                <w:highlight w:val="none"/>
                <w14:textFill>
                  <w14:solidFill>
                    <w14:schemeClr w14:val="tx1"/>
                  </w14:solidFill>
                </w14:textFill>
              </w:rPr>
              <w:t>PLC</w:t>
            </w:r>
            <w:r>
              <w:rPr>
                <w:rFonts w:ascii="Times New Roman" w:hAnsi="宋体" w:eastAsia="宋体" w:cs="Times New Roman"/>
                <w:b/>
                <w:bCs/>
                <w:color w:val="000000" w:themeColor="text1"/>
                <w:kern w:val="0"/>
                <w:szCs w:val="21"/>
                <w:highlight w:val="none"/>
                <w14:textFill>
                  <w14:solidFill>
                    <w14:schemeClr w14:val="tx1"/>
                  </w14:solidFill>
                </w14:textFill>
              </w:rPr>
              <w:t>柜配置表</w:t>
            </w:r>
          </w:p>
        </w:tc>
      </w:tr>
      <w:tr w14:paraId="28C811DD">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5AF2A00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序号</w:t>
            </w:r>
          </w:p>
        </w:tc>
        <w:tc>
          <w:tcPr>
            <w:tcW w:w="1276" w:type="dxa"/>
            <w:tcBorders>
              <w:top w:val="nil"/>
              <w:left w:val="nil"/>
              <w:bottom w:val="single" w:color="auto" w:sz="4" w:space="0"/>
              <w:right w:val="single" w:color="auto" w:sz="4" w:space="0"/>
            </w:tcBorders>
            <w:noWrap/>
            <w:vAlign w:val="center"/>
          </w:tcPr>
          <w:p w14:paraId="637E303C">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项目名称</w:t>
            </w:r>
          </w:p>
        </w:tc>
        <w:tc>
          <w:tcPr>
            <w:tcW w:w="2114" w:type="dxa"/>
            <w:tcBorders>
              <w:top w:val="nil"/>
              <w:left w:val="nil"/>
              <w:bottom w:val="single" w:color="auto" w:sz="4" w:space="0"/>
              <w:right w:val="single" w:color="auto" w:sz="4" w:space="0"/>
            </w:tcBorders>
            <w:noWrap/>
            <w:vAlign w:val="center"/>
          </w:tcPr>
          <w:p w14:paraId="1FC1759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项目特征</w:t>
            </w:r>
            <w:r>
              <w:rPr>
                <w:rFonts w:ascii="Times New Roman" w:hAnsi="Times New Roman" w:eastAsia="宋体" w:cs="Times New Roman"/>
                <w:b/>
                <w:bCs/>
                <w:color w:val="000000" w:themeColor="text1"/>
                <w:kern w:val="0"/>
                <w:szCs w:val="21"/>
                <w:highlight w:val="none"/>
                <w14:textFill>
                  <w14:solidFill>
                    <w14:schemeClr w14:val="tx1"/>
                  </w14:solidFill>
                </w14:textFill>
              </w:rPr>
              <w:t>(</w:t>
            </w:r>
            <w:r>
              <w:rPr>
                <w:rFonts w:ascii="Times New Roman" w:hAnsi="宋体" w:eastAsia="宋体" w:cs="Times New Roman"/>
                <w:b/>
                <w:bCs/>
                <w:color w:val="000000" w:themeColor="text1"/>
                <w:kern w:val="0"/>
                <w:szCs w:val="21"/>
                <w:highlight w:val="none"/>
                <w14:textFill>
                  <w14:solidFill>
                    <w14:schemeClr w14:val="tx1"/>
                  </w14:solidFill>
                </w14:textFill>
              </w:rPr>
              <w:t>含规格、型号等</w:t>
            </w:r>
          </w:p>
        </w:tc>
        <w:tc>
          <w:tcPr>
            <w:tcW w:w="863" w:type="dxa"/>
            <w:tcBorders>
              <w:top w:val="nil"/>
              <w:left w:val="nil"/>
              <w:bottom w:val="single" w:color="auto" w:sz="4" w:space="0"/>
              <w:right w:val="single" w:color="auto" w:sz="4" w:space="0"/>
            </w:tcBorders>
            <w:noWrap/>
            <w:vAlign w:val="center"/>
          </w:tcPr>
          <w:p w14:paraId="6089CA3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单位</w:t>
            </w:r>
          </w:p>
        </w:tc>
        <w:tc>
          <w:tcPr>
            <w:tcW w:w="992" w:type="dxa"/>
            <w:tcBorders>
              <w:top w:val="nil"/>
              <w:left w:val="nil"/>
              <w:bottom w:val="single" w:color="auto" w:sz="4" w:space="0"/>
              <w:right w:val="single" w:color="auto" w:sz="4" w:space="0"/>
            </w:tcBorders>
            <w:noWrap/>
            <w:vAlign w:val="center"/>
          </w:tcPr>
          <w:p w14:paraId="685AEBE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工程量</w:t>
            </w:r>
          </w:p>
        </w:tc>
        <w:tc>
          <w:tcPr>
            <w:tcW w:w="1276" w:type="dxa"/>
            <w:tcBorders>
              <w:top w:val="nil"/>
              <w:left w:val="nil"/>
              <w:bottom w:val="single" w:color="auto" w:sz="4" w:space="0"/>
              <w:right w:val="single" w:color="auto" w:sz="4" w:space="0"/>
            </w:tcBorders>
            <w:noWrap/>
            <w:vAlign w:val="center"/>
          </w:tcPr>
          <w:p w14:paraId="3BC6C24C">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全费用单价（元）</w:t>
            </w:r>
          </w:p>
        </w:tc>
        <w:tc>
          <w:tcPr>
            <w:tcW w:w="1134" w:type="dxa"/>
            <w:tcBorders>
              <w:top w:val="nil"/>
              <w:left w:val="nil"/>
              <w:bottom w:val="single" w:color="auto" w:sz="4" w:space="0"/>
              <w:right w:val="single" w:color="auto" w:sz="4" w:space="0"/>
            </w:tcBorders>
            <w:noWrap/>
            <w:vAlign w:val="center"/>
          </w:tcPr>
          <w:p w14:paraId="3585F605">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合计（元）</w:t>
            </w:r>
          </w:p>
        </w:tc>
        <w:tc>
          <w:tcPr>
            <w:tcW w:w="758" w:type="dxa"/>
            <w:tcBorders>
              <w:top w:val="nil"/>
              <w:left w:val="nil"/>
              <w:bottom w:val="single" w:color="auto" w:sz="4" w:space="0"/>
              <w:right w:val="single" w:color="auto" w:sz="4" w:space="0"/>
            </w:tcBorders>
            <w:noWrap/>
            <w:vAlign w:val="center"/>
          </w:tcPr>
          <w:p w14:paraId="32F2D17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备注</w:t>
            </w:r>
          </w:p>
        </w:tc>
      </w:tr>
      <w:tr w14:paraId="2D5FD8DC">
        <w:tblPrEx>
          <w:tblCellMar>
            <w:top w:w="0" w:type="dxa"/>
            <w:left w:w="108" w:type="dxa"/>
            <w:bottom w:w="0" w:type="dxa"/>
            <w:right w:w="108" w:type="dxa"/>
          </w:tblCellMar>
        </w:tblPrEx>
        <w:trPr>
          <w:cantSplit/>
          <w:trHeight w:val="520" w:hRule="atLeast"/>
        </w:trPr>
        <w:tc>
          <w:tcPr>
            <w:tcW w:w="709" w:type="dxa"/>
            <w:tcBorders>
              <w:top w:val="nil"/>
              <w:left w:val="single" w:color="auto" w:sz="4" w:space="0"/>
              <w:bottom w:val="single" w:color="auto" w:sz="4" w:space="0"/>
              <w:right w:val="single" w:color="auto" w:sz="4" w:space="0"/>
            </w:tcBorders>
            <w:vAlign w:val="center"/>
          </w:tcPr>
          <w:p w14:paraId="0AEB768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vAlign w:val="center"/>
          </w:tcPr>
          <w:p w14:paraId="1483BEA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CPU</w:t>
            </w:r>
            <w:r>
              <w:rPr>
                <w:rFonts w:ascii="Times New Roman" w:hAnsi="宋体" w:eastAsia="宋体" w:cs="Times New Roman"/>
                <w:color w:val="000000" w:themeColor="text1"/>
                <w:kern w:val="0"/>
                <w:szCs w:val="21"/>
                <w:highlight w:val="none"/>
                <w14:textFill>
                  <w14:solidFill>
                    <w14:schemeClr w14:val="tx1"/>
                  </w14:solidFill>
                </w14:textFill>
              </w:rPr>
              <w:t>模块</w:t>
            </w:r>
          </w:p>
        </w:tc>
        <w:tc>
          <w:tcPr>
            <w:tcW w:w="2114" w:type="dxa"/>
            <w:tcBorders>
              <w:top w:val="nil"/>
              <w:left w:val="nil"/>
              <w:bottom w:val="single" w:color="auto" w:sz="4" w:space="0"/>
              <w:right w:val="single" w:color="auto" w:sz="4" w:space="0"/>
            </w:tcBorders>
            <w:vAlign w:val="center"/>
          </w:tcPr>
          <w:p w14:paraId="4D95F8AE">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自主可控</w:t>
            </w:r>
            <w:r>
              <w:rPr>
                <w:rFonts w:ascii="Times New Roman" w:hAnsi="Times New Roman" w:eastAsia="宋体" w:cs="Times New Roman"/>
                <w:color w:val="000000" w:themeColor="text1"/>
                <w:kern w:val="0"/>
                <w:szCs w:val="21"/>
                <w:highlight w:val="none"/>
                <w14:textFill>
                  <w14:solidFill>
                    <w14:schemeClr w14:val="tx1"/>
                  </w14:solidFill>
                </w14:textFill>
              </w:rPr>
              <w:t>CPU</w:t>
            </w:r>
            <w:r>
              <w:rPr>
                <w:rFonts w:ascii="Times New Roman" w:hAnsi="宋体" w:eastAsia="宋体" w:cs="Times New Roman"/>
                <w:color w:val="000000" w:themeColor="text1"/>
                <w:kern w:val="0"/>
                <w:szCs w:val="21"/>
                <w:highlight w:val="none"/>
                <w14:textFill>
                  <w14:solidFill>
                    <w14:schemeClr w14:val="tx1"/>
                  </w14:solidFill>
                </w14:textFill>
              </w:rPr>
              <w:t>，主频</w:t>
            </w:r>
            <w:r>
              <w:rPr>
                <w:rFonts w:ascii="Times New Roman" w:hAnsi="Times New Roman" w:eastAsia="宋体" w:cs="Times New Roman"/>
                <w:color w:val="000000" w:themeColor="text1"/>
                <w:kern w:val="0"/>
                <w:szCs w:val="21"/>
                <w:highlight w:val="none"/>
                <w14:textFill>
                  <w14:solidFill>
                    <w14:schemeClr w14:val="tx1"/>
                  </w14:solidFill>
                </w14:textFill>
              </w:rPr>
              <w:t>≥1GHz</w:t>
            </w:r>
            <w:r>
              <w:rPr>
                <w:rFonts w:ascii="Times New Roman" w:hAnsi="宋体" w:eastAsia="宋体" w:cs="Times New Roman"/>
                <w:color w:val="000000" w:themeColor="text1"/>
                <w:kern w:val="0"/>
                <w:szCs w:val="21"/>
                <w:highlight w:val="none"/>
                <w14:textFill>
                  <w14:solidFill>
                    <w14:schemeClr w14:val="tx1"/>
                  </w14:solidFill>
                </w14:textFill>
              </w:rPr>
              <w:t>，自带两路独立</w:t>
            </w:r>
            <w:r>
              <w:rPr>
                <w:rFonts w:ascii="Times New Roman" w:hAnsi="Times New Roman" w:eastAsia="宋体" w:cs="Times New Roman"/>
                <w:color w:val="000000" w:themeColor="text1"/>
                <w:kern w:val="0"/>
                <w:szCs w:val="21"/>
                <w:highlight w:val="none"/>
                <w14:textFill>
                  <w14:solidFill>
                    <w14:schemeClr w14:val="tx1"/>
                  </w14:solidFill>
                </w14:textFill>
              </w:rPr>
              <w:t>IP</w:t>
            </w:r>
            <w:r>
              <w:rPr>
                <w:rFonts w:ascii="Times New Roman" w:hAnsi="宋体" w:eastAsia="宋体" w:cs="Times New Roman"/>
                <w:color w:val="000000" w:themeColor="text1"/>
                <w:kern w:val="0"/>
                <w:szCs w:val="21"/>
                <w:highlight w:val="none"/>
                <w14:textFill>
                  <w14:solidFill>
                    <w14:schemeClr w14:val="tx1"/>
                  </w14:solidFill>
                </w14:textFill>
              </w:rPr>
              <w:t>以太网口，支持网络冗余，支持</w:t>
            </w:r>
            <w:r>
              <w:rPr>
                <w:rFonts w:ascii="Times New Roman" w:hAnsi="Times New Roman" w:eastAsia="宋体" w:cs="Times New Roman"/>
                <w:color w:val="000000" w:themeColor="text1"/>
                <w:kern w:val="0"/>
                <w:szCs w:val="21"/>
                <w:highlight w:val="none"/>
                <w14:textFill>
                  <w14:solidFill>
                    <w14:schemeClr w14:val="tx1"/>
                  </w14:solidFill>
                </w14:textFill>
              </w:rPr>
              <w:t>TCP</w:t>
            </w:r>
            <w:r>
              <w:rPr>
                <w:rFonts w:ascii="Times New Roman" w:hAnsi="宋体" w:eastAsia="宋体" w:cs="Times New Roman"/>
                <w:color w:val="000000" w:themeColor="text1"/>
                <w:kern w:val="0"/>
                <w:szCs w:val="21"/>
                <w:highlight w:val="none"/>
                <w14:textFill>
                  <w14:solidFill>
                    <w14:schemeClr w14:val="tx1"/>
                  </w14:solidFill>
                </w14:textFill>
              </w:rPr>
              <w:t>客户端</w:t>
            </w:r>
            <w:r>
              <w:rPr>
                <w:rFonts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宋体" w:eastAsia="宋体" w:cs="Times New Roman"/>
                <w:color w:val="000000" w:themeColor="text1"/>
                <w:kern w:val="0"/>
                <w:szCs w:val="21"/>
                <w:highlight w:val="none"/>
                <w14:textFill>
                  <w14:solidFill>
                    <w14:schemeClr w14:val="tx1"/>
                  </w14:solidFill>
                </w14:textFill>
              </w:rPr>
              <w:t>服务端，</w:t>
            </w:r>
            <w:r>
              <w:rPr>
                <w:rFonts w:ascii="Times New Roman" w:hAnsi="Times New Roman" w:eastAsia="宋体" w:cs="Times New Roman"/>
                <w:color w:val="000000" w:themeColor="text1"/>
                <w:kern w:val="0"/>
                <w:szCs w:val="21"/>
                <w:highlight w:val="none"/>
                <w14:textFill>
                  <w14:solidFill>
                    <w14:schemeClr w14:val="tx1"/>
                  </w14:solidFill>
                </w14:textFill>
              </w:rPr>
              <w:t>1</w:t>
            </w:r>
            <w:r>
              <w:rPr>
                <w:rFonts w:ascii="Times New Roman" w:hAnsi="宋体" w:eastAsia="宋体" w:cs="Times New Roman"/>
                <w:color w:val="000000" w:themeColor="text1"/>
                <w:kern w:val="0"/>
                <w:szCs w:val="21"/>
                <w:highlight w:val="none"/>
                <w14:textFill>
                  <w14:solidFill>
                    <w14:schemeClr w14:val="tx1"/>
                  </w14:solidFill>
                </w14:textFill>
              </w:rPr>
              <w:t>路串口，支持</w:t>
            </w:r>
            <w:r>
              <w:rPr>
                <w:rFonts w:ascii="Times New Roman" w:hAnsi="Times New Roman" w:eastAsia="宋体" w:cs="Times New Roman"/>
                <w:color w:val="000000" w:themeColor="text1"/>
                <w:kern w:val="0"/>
                <w:szCs w:val="21"/>
                <w:highlight w:val="none"/>
                <w14:textFill>
                  <w14:solidFill>
                    <w14:schemeClr w14:val="tx1"/>
                  </w14:solidFill>
                </w14:textFill>
              </w:rPr>
              <w:t>RTU</w:t>
            </w:r>
            <w:r>
              <w:rPr>
                <w:rFonts w:ascii="Times New Roman" w:hAnsi="宋体" w:eastAsia="宋体" w:cs="Times New Roman"/>
                <w:color w:val="000000" w:themeColor="text1"/>
                <w:kern w:val="0"/>
                <w:szCs w:val="21"/>
                <w:highlight w:val="none"/>
                <w14:textFill>
                  <w14:solidFill>
                    <w14:schemeClr w14:val="tx1"/>
                  </w14:solidFill>
                </w14:textFill>
              </w:rPr>
              <w:t>主站</w:t>
            </w:r>
            <w:r>
              <w:rPr>
                <w:rFonts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宋体" w:eastAsia="宋体" w:cs="Times New Roman"/>
                <w:color w:val="000000" w:themeColor="text1"/>
                <w:kern w:val="0"/>
                <w:szCs w:val="21"/>
                <w:highlight w:val="none"/>
                <w14:textFill>
                  <w14:solidFill>
                    <w14:schemeClr w14:val="tx1"/>
                  </w14:solidFill>
                </w14:textFill>
              </w:rPr>
              <w:t>从站</w:t>
            </w:r>
          </w:p>
        </w:tc>
        <w:tc>
          <w:tcPr>
            <w:tcW w:w="863" w:type="dxa"/>
            <w:tcBorders>
              <w:top w:val="nil"/>
              <w:left w:val="nil"/>
              <w:bottom w:val="single" w:color="auto" w:sz="4" w:space="0"/>
              <w:right w:val="single" w:color="auto" w:sz="4" w:space="0"/>
            </w:tcBorders>
            <w:vAlign w:val="center"/>
          </w:tcPr>
          <w:p w14:paraId="76D1EA1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4E8116A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046BA77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34D560A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00F4C7B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2E41512F">
        <w:tblPrEx>
          <w:tblCellMar>
            <w:top w:w="0" w:type="dxa"/>
            <w:left w:w="108" w:type="dxa"/>
            <w:bottom w:w="0" w:type="dxa"/>
            <w:right w:w="108" w:type="dxa"/>
          </w:tblCellMar>
        </w:tblPrEx>
        <w:trPr>
          <w:cantSplit/>
          <w:trHeight w:val="280" w:hRule="atLeast"/>
        </w:trPr>
        <w:tc>
          <w:tcPr>
            <w:tcW w:w="709" w:type="dxa"/>
            <w:tcBorders>
              <w:top w:val="single" w:color="auto" w:sz="4" w:space="0"/>
              <w:left w:val="single" w:color="auto" w:sz="4" w:space="0"/>
              <w:bottom w:val="single" w:color="auto" w:sz="4" w:space="0"/>
              <w:right w:val="single" w:color="auto" w:sz="4" w:space="0"/>
            </w:tcBorders>
            <w:vAlign w:val="center"/>
          </w:tcPr>
          <w:p w14:paraId="2B5957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276" w:type="dxa"/>
            <w:tcBorders>
              <w:top w:val="single" w:color="auto" w:sz="4" w:space="0"/>
              <w:left w:val="nil"/>
              <w:bottom w:val="single" w:color="auto" w:sz="4" w:space="0"/>
              <w:right w:val="single" w:color="auto" w:sz="4" w:space="0"/>
            </w:tcBorders>
            <w:vAlign w:val="center"/>
          </w:tcPr>
          <w:p w14:paraId="3B6E344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数字量输入模块</w:t>
            </w:r>
          </w:p>
        </w:tc>
        <w:tc>
          <w:tcPr>
            <w:tcW w:w="2114" w:type="dxa"/>
            <w:tcBorders>
              <w:top w:val="single" w:color="auto" w:sz="4" w:space="0"/>
              <w:left w:val="nil"/>
              <w:bottom w:val="single" w:color="auto" w:sz="4" w:space="0"/>
              <w:right w:val="single" w:color="auto" w:sz="4" w:space="0"/>
            </w:tcBorders>
            <w:vAlign w:val="center"/>
          </w:tcPr>
          <w:p w14:paraId="4CB4FEE4">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数字量</w:t>
            </w:r>
            <w:r>
              <w:rPr>
                <w:rFonts w:ascii="Times New Roman" w:hAnsi="Times New Roman" w:eastAsia="宋体" w:cs="Times New Roman"/>
                <w:color w:val="000000" w:themeColor="text1"/>
                <w:kern w:val="0"/>
                <w:szCs w:val="21"/>
                <w:highlight w:val="none"/>
                <w14:textFill>
                  <w14:solidFill>
                    <w14:schemeClr w14:val="tx1"/>
                  </w14:solidFill>
                </w14:textFill>
              </w:rPr>
              <w:t>DC</w:t>
            </w:r>
            <w:r>
              <w:rPr>
                <w:rFonts w:ascii="Times New Roman" w:hAnsi="宋体" w:eastAsia="宋体" w:cs="Times New Roman"/>
                <w:color w:val="000000" w:themeColor="text1"/>
                <w:kern w:val="0"/>
                <w:szCs w:val="21"/>
                <w:highlight w:val="none"/>
                <w14:textFill>
                  <w14:solidFill>
                    <w14:schemeClr w14:val="tx1"/>
                  </w14:solidFill>
                </w14:textFill>
              </w:rPr>
              <w:t>输入模块，</w:t>
            </w:r>
            <w:r>
              <w:rPr>
                <w:rFonts w:ascii="Times New Roman" w:hAnsi="Times New Roman" w:eastAsia="宋体" w:cs="Times New Roman"/>
                <w:color w:val="000000" w:themeColor="text1"/>
                <w:kern w:val="0"/>
                <w:szCs w:val="21"/>
                <w:highlight w:val="none"/>
                <w14:textFill>
                  <w14:solidFill>
                    <w14:schemeClr w14:val="tx1"/>
                  </w14:solidFill>
                </w14:textFill>
              </w:rPr>
              <w:t>32</w:t>
            </w:r>
            <w:r>
              <w:rPr>
                <w:rFonts w:ascii="Times New Roman" w:hAnsi="宋体" w:eastAsia="宋体" w:cs="Times New Roman"/>
                <w:color w:val="000000" w:themeColor="text1"/>
                <w:kern w:val="0"/>
                <w:szCs w:val="21"/>
                <w:highlight w:val="none"/>
                <w14:textFill>
                  <w14:solidFill>
                    <w14:schemeClr w14:val="tx1"/>
                  </w14:solidFill>
                </w14:textFill>
              </w:rPr>
              <w:t>点输入，</w:t>
            </w:r>
            <w:r>
              <w:rPr>
                <w:rFonts w:ascii="Times New Roman" w:hAnsi="Times New Roman" w:eastAsia="宋体" w:cs="Times New Roman"/>
                <w:color w:val="000000" w:themeColor="text1"/>
                <w:kern w:val="0"/>
                <w:szCs w:val="21"/>
                <w:highlight w:val="none"/>
                <w14:textFill>
                  <w14:solidFill>
                    <w14:schemeClr w14:val="tx1"/>
                  </w14:solidFill>
                </w14:textFill>
              </w:rPr>
              <w:t>24VDC</w:t>
            </w:r>
          </w:p>
        </w:tc>
        <w:tc>
          <w:tcPr>
            <w:tcW w:w="863" w:type="dxa"/>
            <w:tcBorders>
              <w:top w:val="single" w:color="auto" w:sz="4" w:space="0"/>
              <w:left w:val="nil"/>
              <w:bottom w:val="single" w:color="auto" w:sz="4" w:space="0"/>
              <w:right w:val="single" w:color="auto" w:sz="4" w:space="0"/>
            </w:tcBorders>
            <w:vAlign w:val="center"/>
          </w:tcPr>
          <w:p w14:paraId="5B95157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vAlign w:val="center"/>
          </w:tcPr>
          <w:p w14:paraId="40AEC2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6</w:t>
            </w:r>
          </w:p>
        </w:tc>
        <w:tc>
          <w:tcPr>
            <w:tcW w:w="1276" w:type="dxa"/>
            <w:tcBorders>
              <w:top w:val="single" w:color="auto" w:sz="4" w:space="0"/>
              <w:left w:val="nil"/>
              <w:bottom w:val="single" w:color="auto" w:sz="4" w:space="0"/>
              <w:right w:val="single" w:color="auto" w:sz="4" w:space="0"/>
            </w:tcBorders>
            <w:noWrap/>
            <w:vAlign w:val="bottom"/>
          </w:tcPr>
          <w:p w14:paraId="0DFFEB3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179AD51F">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0363214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177FBDE8">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1184198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276" w:type="dxa"/>
            <w:tcBorders>
              <w:top w:val="nil"/>
              <w:left w:val="nil"/>
              <w:bottom w:val="single" w:color="auto" w:sz="4" w:space="0"/>
              <w:right w:val="single" w:color="auto" w:sz="4" w:space="0"/>
            </w:tcBorders>
            <w:vAlign w:val="center"/>
          </w:tcPr>
          <w:p w14:paraId="1125BB9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数字量输出模块</w:t>
            </w:r>
          </w:p>
        </w:tc>
        <w:tc>
          <w:tcPr>
            <w:tcW w:w="2114" w:type="dxa"/>
            <w:tcBorders>
              <w:top w:val="nil"/>
              <w:left w:val="nil"/>
              <w:bottom w:val="single" w:color="auto" w:sz="4" w:space="0"/>
              <w:right w:val="single" w:color="auto" w:sz="4" w:space="0"/>
            </w:tcBorders>
            <w:vAlign w:val="center"/>
          </w:tcPr>
          <w:p w14:paraId="682E2C9F">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数字量</w:t>
            </w:r>
            <w:r>
              <w:rPr>
                <w:rFonts w:ascii="Times New Roman" w:hAnsi="Times New Roman" w:eastAsia="宋体" w:cs="Times New Roman"/>
                <w:color w:val="000000" w:themeColor="text1"/>
                <w:kern w:val="0"/>
                <w:szCs w:val="21"/>
                <w:highlight w:val="none"/>
                <w14:textFill>
                  <w14:solidFill>
                    <w14:schemeClr w14:val="tx1"/>
                  </w14:solidFill>
                </w14:textFill>
              </w:rPr>
              <w:t>DC</w:t>
            </w:r>
            <w:r>
              <w:rPr>
                <w:rFonts w:ascii="Times New Roman" w:hAnsi="宋体" w:eastAsia="宋体" w:cs="Times New Roman"/>
                <w:color w:val="000000" w:themeColor="text1"/>
                <w:kern w:val="0"/>
                <w:szCs w:val="21"/>
                <w:highlight w:val="none"/>
                <w14:textFill>
                  <w14:solidFill>
                    <w14:schemeClr w14:val="tx1"/>
                  </w14:solidFill>
                </w14:textFill>
              </w:rPr>
              <w:t>输出模块，</w:t>
            </w:r>
            <w:r>
              <w:rPr>
                <w:rFonts w:ascii="Times New Roman" w:hAnsi="Times New Roman" w:eastAsia="宋体" w:cs="Times New Roman"/>
                <w:color w:val="000000" w:themeColor="text1"/>
                <w:kern w:val="0"/>
                <w:szCs w:val="21"/>
                <w:highlight w:val="none"/>
                <w14:textFill>
                  <w14:solidFill>
                    <w14:schemeClr w14:val="tx1"/>
                  </w14:solidFill>
                </w14:textFill>
              </w:rPr>
              <w:t>32</w:t>
            </w:r>
            <w:r>
              <w:rPr>
                <w:rFonts w:ascii="Times New Roman" w:hAnsi="宋体" w:eastAsia="宋体" w:cs="Times New Roman"/>
                <w:color w:val="000000" w:themeColor="text1"/>
                <w:kern w:val="0"/>
                <w:szCs w:val="21"/>
                <w:highlight w:val="none"/>
                <w14:textFill>
                  <w14:solidFill>
                    <w14:schemeClr w14:val="tx1"/>
                  </w14:solidFill>
                </w14:textFill>
              </w:rPr>
              <w:t>点输出</w:t>
            </w:r>
            <w:r>
              <w:rPr>
                <w:rFonts w:ascii="Times New Roman" w:hAnsi="Times New Roman" w:eastAsia="宋体" w:cs="Times New Roman"/>
                <w:color w:val="000000" w:themeColor="text1"/>
                <w:kern w:val="0"/>
                <w:szCs w:val="21"/>
                <w:highlight w:val="none"/>
                <w14:textFill>
                  <w14:solidFill>
                    <w14:schemeClr w14:val="tx1"/>
                  </w14:solidFill>
                </w14:textFill>
              </w:rPr>
              <w:t>24VDC</w:t>
            </w:r>
            <w:r>
              <w:rPr>
                <w:rFonts w:ascii="Times New Roman" w:hAnsi="宋体" w:eastAsia="宋体" w:cs="Times New Roman"/>
                <w:color w:val="000000" w:themeColor="text1"/>
                <w:kern w:val="0"/>
                <w:szCs w:val="21"/>
                <w:highlight w:val="none"/>
                <w14:textFill>
                  <w14:solidFill>
                    <w14:schemeClr w14:val="tx1"/>
                  </w14:solidFill>
                </w14:textFill>
              </w:rPr>
              <w:t>晶体管</w:t>
            </w:r>
          </w:p>
        </w:tc>
        <w:tc>
          <w:tcPr>
            <w:tcW w:w="863" w:type="dxa"/>
            <w:tcBorders>
              <w:top w:val="nil"/>
              <w:left w:val="nil"/>
              <w:bottom w:val="single" w:color="auto" w:sz="4" w:space="0"/>
              <w:right w:val="single" w:color="auto" w:sz="4" w:space="0"/>
            </w:tcBorders>
            <w:vAlign w:val="center"/>
          </w:tcPr>
          <w:p w14:paraId="3E240B8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53C3A18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noWrap/>
            <w:vAlign w:val="bottom"/>
          </w:tcPr>
          <w:p w14:paraId="220C7B0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3C74D98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00A2637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215654DF">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7D057B1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p>
        </w:tc>
        <w:tc>
          <w:tcPr>
            <w:tcW w:w="1276" w:type="dxa"/>
            <w:tcBorders>
              <w:top w:val="nil"/>
              <w:left w:val="nil"/>
              <w:bottom w:val="single" w:color="auto" w:sz="4" w:space="0"/>
              <w:right w:val="single" w:color="auto" w:sz="4" w:space="0"/>
            </w:tcBorders>
            <w:vAlign w:val="center"/>
          </w:tcPr>
          <w:p w14:paraId="75732BA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模拟量输入模块</w:t>
            </w:r>
          </w:p>
        </w:tc>
        <w:tc>
          <w:tcPr>
            <w:tcW w:w="2114" w:type="dxa"/>
            <w:tcBorders>
              <w:top w:val="nil"/>
              <w:left w:val="nil"/>
              <w:bottom w:val="single" w:color="auto" w:sz="4" w:space="0"/>
              <w:right w:val="single" w:color="auto" w:sz="4" w:space="0"/>
            </w:tcBorders>
            <w:vAlign w:val="center"/>
          </w:tcPr>
          <w:p w14:paraId="4DABFFED">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模拟量输入模块</w:t>
            </w:r>
            <w:r>
              <w:rPr>
                <w:rFonts w:ascii="Times New Roman" w:hAnsi="Times New Roman" w:eastAsia="宋体" w:cs="Times New Roman"/>
                <w:color w:val="000000" w:themeColor="text1"/>
                <w:kern w:val="0"/>
                <w:szCs w:val="21"/>
                <w:highlight w:val="none"/>
                <w14:textFill>
                  <w14:solidFill>
                    <w14:schemeClr w14:val="tx1"/>
                  </w14:solidFill>
                </w14:textFill>
              </w:rPr>
              <w:t>8</w:t>
            </w:r>
            <w:r>
              <w:rPr>
                <w:rFonts w:ascii="Times New Roman" w:hAnsi="宋体" w:eastAsia="宋体" w:cs="Times New Roman"/>
                <w:color w:val="000000" w:themeColor="text1"/>
                <w:kern w:val="0"/>
                <w:szCs w:val="21"/>
                <w:highlight w:val="none"/>
                <w14:textFill>
                  <w14:solidFill>
                    <w14:schemeClr w14:val="tx1"/>
                  </w14:solidFill>
                </w14:textFill>
              </w:rPr>
              <w:t>通道</w:t>
            </w:r>
          </w:p>
        </w:tc>
        <w:tc>
          <w:tcPr>
            <w:tcW w:w="863" w:type="dxa"/>
            <w:tcBorders>
              <w:top w:val="nil"/>
              <w:left w:val="nil"/>
              <w:bottom w:val="single" w:color="auto" w:sz="4" w:space="0"/>
              <w:right w:val="single" w:color="auto" w:sz="4" w:space="0"/>
            </w:tcBorders>
            <w:vAlign w:val="center"/>
          </w:tcPr>
          <w:p w14:paraId="6780D34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1B19F92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276" w:type="dxa"/>
            <w:tcBorders>
              <w:top w:val="nil"/>
              <w:left w:val="nil"/>
              <w:bottom w:val="single" w:color="auto" w:sz="4" w:space="0"/>
              <w:right w:val="single" w:color="auto" w:sz="4" w:space="0"/>
            </w:tcBorders>
            <w:noWrap/>
            <w:vAlign w:val="bottom"/>
          </w:tcPr>
          <w:p w14:paraId="70596CB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56456F8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C741D4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41DD1ABB">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1CF5999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5</w:t>
            </w:r>
          </w:p>
        </w:tc>
        <w:tc>
          <w:tcPr>
            <w:tcW w:w="1276" w:type="dxa"/>
            <w:tcBorders>
              <w:top w:val="nil"/>
              <w:left w:val="nil"/>
              <w:bottom w:val="single" w:color="auto" w:sz="4" w:space="0"/>
              <w:right w:val="single" w:color="auto" w:sz="4" w:space="0"/>
            </w:tcBorders>
            <w:vAlign w:val="center"/>
          </w:tcPr>
          <w:p w14:paraId="38CBEAC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电源模块</w:t>
            </w:r>
          </w:p>
        </w:tc>
        <w:tc>
          <w:tcPr>
            <w:tcW w:w="2114" w:type="dxa"/>
            <w:tcBorders>
              <w:top w:val="nil"/>
              <w:left w:val="nil"/>
              <w:bottom w:val="single" w:color="auto" w:sz="4" w:space="0"/>
              <w:right w:val="single" w:color="auto" w:sz="4" w:space="0"/>
            </w:tcBorders>
            <w:vAlign w:val="center"/>
          </w:tcPr>
          <w:p w14:paraId="24FFC29B">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功率：</w:t>
            </w:r>
            <w:r>
              <w:rPr>
                <w:rFonts w:ascii="Times New Roman" w:hAnsi="Times New Roman" w:eastAsia="宋体" w:cs="Times New Roman"/>
                <w:color w:val="000000" w:themeColor="text1"/>
                <w:kern w:val="0"/>
                <w:szCs w:val="21"/>
                <w:highlight w:val="none"/>
                <w14:textFill>
                  <w14:solidFill>
                    <w14:schemeClr w14:val="tx1"/>
                  </w14:solidFill>
                </w14:textFill>
              </w:rPr>
              <w:t>100WDC24V</w:t>
            </w:r>
            <w:r>
              <w:rPr>
                <w:rFonts w:ascii="Times New Roman" w:hAnsi="宋体" w:eastAsia="宋体" w:cs="Times New Roman"/>
                <w:color w:val="000000" w:themeColor="text1"/>
                <w:kern w:val="0"/>
                <w:szCs w:val="21"/>
                <w:highlight w:val="none"/>
                <w14:textFill>
                  <w14:solidFill>
                    <w14:schemeClr w14:val="tx1"/>
                  </w14:solidFill>
                </w14:textFill>
              </w:rPr>
              <w:t>输入</w:t>
            </w:r>
          </w:p>
        </w:tc>
        <w:tc>
          <w:tcPr>
            <w:tcW w:w="863" w:type="dxa"/>
            <w:tcBorders>
              <w:top w:val="nil"/>
              <w:left w:val="nil"/>
              <w:bottom w:val="single" w:color="auto" w:sz="4" w:space="0"/>
              <w:right w:val="single" w:color="auto" w:sz="4" w:space="0"/>
            </w:tcBorders>
            <w:vAlign w:val="center"/>
          </w:tcPr>
          <w:p w14:paraId="0AC2FA7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5F20C6F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7F6651E0">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317E543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A445F2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035C63F">
        <w:tblPrEx>
          <w:tblCellMar>
            <w:top w:w="0" w:type="dxa"/>
            <w:left w:w="108" w:type="dxa"/>
            <w:bottom w:w="0" w:type="dxa"/>
            <w:right w:w="108" w:type="dxa"/>
          </w:tblCellMar>
        </w:tblPrEx>
        <w:trPr>
          <w:cantSplit/>
          <w:trHeight w:val="386" w:hRule="atLeast"/>
        </w:trPr>
        <w:tc>
          <w:tcPr>
            <w:tcW w:w="709" w:type="dxa"/>
            <w:tcBorders>
              <w:top w:val="single" w:color="auto" w:sz="4" w:space="0"/>
              <w:left w:val="single" w:color="auto" w:sz="4" w:space="0"/>
              <w:bottom w:val="single" w:color="auto" w:sz="4" w:space="0"/>
              <w:right w:val="single" w:color="auto" w:sz="4" w:space="0"/>
            </w:tcBorders>
            <w:vAlign w:val="center"/>
          </w:tcPr>
          <w:p w14:paraId="7B3A29F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6</w:t>
            </w:r>
          </w:p>
        </w:tc>
        <w:tc>
          <w:tcPr>
            <w:tcW w:w="1276" w:type="dxa"/>
            <w:tcBorders>
              <w:top w:val="single" w:color="auto" w:sz="4" w:space="0"/>
              <w:left w:val="nil"/>
              <w:bottom w:val="single" w:color="auto" w:sz="4" w:space="0"/>
              <w:right w:val="single" w:color="auto" w:sz="4" w:space="0"/>
            </w:tcBorders>
            <w:vAlign w:val="center"/>
          </w:tcPr>
          <w:p w14:paraId="341DAC1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背板</w:t>
            </w:r>
          </w:p>
        </w:tc>
        <w:tc>
          <w:tcPr>
            <w:tcW w:w="2114" w:type="dxa"/>
            <w:tcBorders>
              <w:top w:val="single" w:color="auto" w:sz="4" w:space="0"/>
              <w:left w:val="nil"/>
              <w:bottom w:val="single" w:color="auto" w:sz="4" w:space="0"/>
              <w:right w:val="single" w:color="auto" w:sz="4" w:space="0"/>
            </w:tcBorders>
            <w:vAlign w:val="center"/>
          </w:tcPr>
          <w:p w14:paraId="51758BC4">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不低于</w:t>
            </w:r>
            <w:r>
              <w:rPr>
                <w:rFonts w:ascii="Times New Roman" w:hAnsi="Times New Roman" w:eastAsia="宋体" w:cs="Times New Roman"/>
                <w:color w:val="000000" w:themeColor="text1"/>
                <w:kern w:val="0"/>
                <w:szCs w:val="21"/>
                <w:highlight w:val="none"/>
                <w14:textFill>
                  <w14:solidFill>
                    <w14:schemeClr w14:val="tx1"/>
                  </w14:solidFill>
                </w14:textFill>
              </w:rPr>
              <w:t>16</w:t>
            </w:r>
            <w:r>
              <w:rPr>
                <w:rFonts w:ascii="Times New Roman" w:hAnsi="宋体" w:eastAsia="宋体" w:cs="Times New Roman"/>
                <w:color w:val="000000" w:themeColor="text1"/>
                <w:kern w:val="0"/>
                <w:szCs w:val="21"/>
                <w:highlight w:val="none"/>
                <w14:textFill>
                  <w14:solidFill>
                    <w14:schemeClr w14:val="tx1"/>
                  </w14:solidFill>
                </w14:textFill>
              </w:rPr>
              <w:t>槽背板</w:t>
            </w:r>
          </w:p>
        </w:tc>
        <w:tc>
          <w:tcPr>
            <w:tcW w:w="863" w:type="dxa"/>
            <w:tcBorders>
              <w:top w:val="single" w:color="auto" w:sz="4" w:space="0"/>
              <w:left w:val="nil"/>
              <w:bottom w:val="single" w:color="auto" w:sz="4" w:space="0"/>
              <w:right w:val="single" w:color="auto" w:sz="4" w:space="0"/>
            </w:tcBorders>
            <w:vAlign w:val="center"/>
          </w:tcPr>
          <w:p w14:paraId="0FD4F26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vAlign w:val="center"/>
          </w:tcPr>
          <w:p w14:paraId="0C8DFF8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noWrap/>
            <w:vAlign w:val="bottom"/>
          </w:tcPr>
          <w:p w14:paraId="692DCB5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150A972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283D07D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E9A76C7">
        <w:tblPrEx>
          <w:tblCellMar>
            <w:top w:w="0" w:type="dxa"/>
            <w:left w:w="108" w:type="dxa"/>
            <w:bottom w:w="0" w:type="dxa"/>
            <w:right w:w="108" w:type="dxa"/>
          </w:tblCellMar>
        </w:tblPrEx>
        <w:trPr>
          <w:cantSplit/>
          <w:trHeight w:val="447" w:hRule="atLeast"/>
        </w:trPr>
        <w:tc>
          <w:tcPr>
            <w:tcW w:w="709" w:type="dxa"/>
            <w:tcBorders>
              <w:top w:val="nil"/>
              <w:left w:val="single" w:color="auto" w:sz="4" w:space="0"/>
              <w:bottom w:val="single" w:color="auto" w:sz="4" w:space="0"/>
              <w:right w:val="single" w:color="auto" w:sz="4" w:space="0"/>
            </w:tcBorders>
            <w:vAlign w:val="center"/>
          </w:tcPr>
          <w:p w14:paraId="6105481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7</w:t>
            </w:r>
          </w:p>
        </w:tc>
        <w:tc>
          <w:tcPr>
            <w:tcW w:w="1276" w:type="dxa"/>
            <w:tcBorders>
              <w:top w:val="nil"/>
              <w:left w:val="nil"/>
              <w:bottom w:val="single" w:color="auto" w:sz="4" w:space="0"/>
              <w:right w:val="single" w:color="auto" w:sz="4" w:space="0"/>
            </w:tcBorders>
            <w:vAlign w:val="center"/>
          </w:tcPr>
          <w:p w14:paraId="658B780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空槽模件</w:t>
            </w:r>
          </w:p>
        </w:tc>
        <w:tc>
          <w:tcPr>
            <w:tcW w:w="2114" w:type="dxa"/>
            <w:tcBorders>
              <w:top w:val="nil"/>
              <w:left w:val="nil"/>
              <w:bottom w:val="single" w:color="auto" w:sz="4" w:space="0"/>
              <w:right w:val="single" w:color="auto" w:sz="4" w:space="0"/>
            </w:tcBorders>
            <w:vAlign w:val="center"/>
          </w:tcPr>
          <w:p w14:paraId="5B29239C">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空槽模件，按需配置</w:t>
            </w:r>
          </w:p>
        </w:tc>
        <w:tc>
          <w:tcPr>
            <w:tcW w:w="863" w:type="dxa"/>
            <w:tcBorders>
              <w:top w:val="nil"/>
              <w:left w:val="nil"/>
              <w:bottom w:val="single" w:color="auto" w:sz="4" w:space="0"/>
              <w:right w:val="single" w:color="auto" w:sz="4" w:space="0"/>
            </w:tcBorders>
            <w:vAlign w:val="center"/>
          </w:tcPr>
          <w:p w14:paraId="72E785C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2364FB8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2BD4FA2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27225110">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139E9DF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7A0C9E4E">
        <w:tblPrEx>
          <w:tblCellMar>
            <w:top w:w="0" w:type="dxa"/>
            <w:left w:w="108" w:type="dxa"/>
            <w:bottom w:w="0" w:type="dxa"/>
            <w:right w:w="108" w:type="dxa"/>
          </w:tblCellMar>
        </w:tblPrEx>
        <w:trPr>
          <w:cantSplit/>
          <w:trHeight w:val="780" w:hRule="atLeast"/>
        </w:trPr>
        <w:tc>
          <w:tcPr>
            <w:tcW w:w="709" w:type="dxa"/>
            <w:tcBorders>
              <w:top w:val="nil"/>
              <w:left w:val="single" w:color="auto" w:sz="4" w:space="0"/>
              <w:bottom w:val="single" w:color="auto" w:sz="4" w:space="0"/>
              <w:right w:val="single" w:color="auto" w:sz="4" w:space="0"/>
            </w:tcBorders>
            <w:vAlign w:val="center"/>
          </w:tcPr>
          <w:p w14:paraId="67BB529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8</w:t>
            </w:r>
          </w:p>
        </w:tc>
        <w:tc>
          <w:tcPr>
            <w:tcW w:w="1276" w:type="dxa"/>
            <w:tcBorders>
              <w:top w:val="nil"/>
              <w:left w:val="nil"/>
              <w:bottom w:val="single" w:color="auto" w:sz="4" w:space="0"/>
              <w:right w:val="single" w:color="auto" w:sz="4" w:space="0"/>
            </w:tcBorders>
            <w:vAlign w:val="center"/>
          </w:tcPr>
          <w:p w14:paraId="35453B58">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触摸屏</w:t>
            </w:r>
          </w:p>
        </w:tc>
        <w:tc>
          <w:tcPr>
            <w:tcW w:w="2114" w:type="dxa"/>
            <w:tcBorders>
              <w:top w:val="nil"/>
              <w:left w:val="nil"/>
              <w:bottom w:val="single" w:color="auto" w:sz="4" w:space="0"/>
              <w:right w:val="single" w:color="auto" w:sz="4" w:space="0"/>
            </w:tcBorders>
            <w:vAlign w:val="center"/>
          </w:tcPr>
          <w:p w14:paraId="4FBFDD28">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采用</w:t>
            </w:r>
            <w:r>
              <w:rPr>
                <w:rFonts w:ascii="Times New Roman" w:hAnsi="Times New Roman" w:eastAsia="宋体" w:cs="Times New Roman"/>
                <w:color w:val="000000" w:themeColor="text1"/>
                <w:kern w:val="0"/>
                <w:szCs w:val="21"/>
                <w:highlight w:val="none"/>
                <w14:textFill>
                  <w14:solidFill>
                    <w14:schemeClr w14:val="tx1"/>
                  </w14:solidFill>
                </w14:textFill>
              </w:rPr>
              <w:t>≥15</w:t>
            </w:r>
            <w:r>
              <w:rPr>
                <w:rFonts w:ascii="Times New Roman" w:hAnsi="宋体" w:eastAsia="宋体" w:cs="Times New Roman"/>
                <w:color w:val="000000" w:themeColor="text1"/>
                <w:kern w:val="0"/>
                <w:szCs w:val="21"/>
                <w:highlight w:val="none"/>
                <w14:textFill>
                  <w14:solidFill>
                    <w14:schemeClr w14:val="tx1"/>
                  </w14:solidFill>
                </w14:textFill>
              </w:rPr>
              <w:t>寸</w:t>
            </w:r>
            <w:r>
              <w:rPr>
                <w:rFonts w:ascii="Times New Roman" w:hAnsi="Times New Roman" w:eastAsia="宋体" w:cs="Times New Roman"/>
                <w:color w:val="000000" w:themeColor="text1"/>
                <w:kern w:val="0"/>
                <w:szCs w:val="21"/>
                <w:highlight w:val="none"/>
                <w14:textFill>
                  <w14:solidFill>
                    <w14:schemeClr w14:val="tx1"/>
                  </w14:solidFill>
                </w14:textFill>
              </w:rPr>
              <w:t xml:space="preserve"> 16:9 TFT LCD</w:t>
            </w:r>
            <w:r>
              <w:rPr>
                <w:rFonts w:ascii="Times New Roman" w:hAnsi="宋体" w:eastAsia="宋体" w:cs="Times New Roman"/>
                <w:color w:val="000000" w:themeColor="text1"/>
                <w:kern w:val="0"/>
                <w:szCs w:val="21"/>
                <w:highlight w:val="none"/>
                <w14:textFill>
                  <w14:solidFill>
                    <w14:schemeClr w14:val="tx1"/>
                  </w14:solidFill>
                </w14:textFill>
              </w:rPr>
              <w:t>触摸屏，分辨率</w:t>
            </w:r>
            <w:r>
              <w:rPr>
                <w:rFonts w:ascii="Times New Roman" w:hAnsi="Times New Roman" w:eastAsia="宋体" w:cs="Times New Roman"/>
                <w:color w:val="000000" w:themeColor="text1"/>
                <w:kern w:val="0"/>
                <w:szCs w:val="21"/>
                <w:highlight w:val="none"/>
                <w14:textFill>
                  <w14:solidFill>
                    <w14:schemeClr w14:val="tx1"/>
                  </w14:solidFill>
                </w14:textFill>
              </w:rPr>
              <w:t>1920×1080</w:t>
            </w:r>
            <w:r>
              <w:rPr>
                <w:rFonts w:ascii="Times New Roman" w:hAnsi="宋体" w:eastAsia="宋体" w:cs="Times New Roman"/>
                <w:color w:val="000000" w:themeColor="text1"/>
                <w:kern w:val="0"/>
                <w:szCs w:val="21"/>
                <w:highlight w:val="none"/>
                <w14:textFill>
                  <w14:solidFill>
                    <w14:schemeClr w14:val="tx1"/>
                  </w14:solidFill>
                </w14:textFill>
              </w:rPr>
              <w:t>，</w:t>
            </w:r>
            <w:r>
              <w:rPr>
                <w:rFonts w:ascii="Times New Roman" w:hAnsi="Times New Roman" w:eastAsia="宋体" w:cs="Times New Roman"/>
                <w:color w:val="000000" w:themeColor="text1"/>
                <w:kern w:val="0"/>
                <w:szCs w:val="21"/>
                <w:highlight w:val="none"/>
                <w14:textFill>
                  <w14:solidFill>
                    <w14:schemeClr w14:val="tx1"/>
                  </w14:solidFill>
                </w14:textFill>
              </w:rPr>
              <w:t xml:space="preserve">≥1 </w:t>
            </w:r>
            <w:r>
              <w:rPr>
                <w:rFonts w:ascii="Times New Roman" w:hAnsi="宋体" w:eastAsia="宋体" w:cs="Times New Roman"/>
                <w:color w:val="000000" w:themeColor="text1"/>
                <w:kern w:val="0"/>
                <w:szCs w:val="21"/>
                <w:highlight w:val="none"/>
                <w14:textFill>
                  <w14:solidFill>
                    <w14:schemeClr w14:val="tx1"/>
                  </w14:solidFill>
                </w14:textFill>
              </w:rPr>
              <w:t>路</w:t>
            </w:r>
            <w:r>
              <w:rPr>
                <w:rFonts w:ascii="Times New Roman" w:hAnsi="Times New Roman" w:eastAsia="宋体" w:cs="Times New Roman"/>
                <w:color w:val="000000" w:themeColor="text1"/>
                <w:kern w:val="0"/>
                <w:szCs w:val="21"/>
                <w:highlight w:val="none"/>
                <w14:textFill>
                  <w14:solidFill>
                    <w14:schemeClr w14:val="tx1"/>
                  </w14:solidFill>
                </w14:textFill>
              </w:rPr>
              <w:t xml:space="preserve"> 10M/100M </w:t>
            </w:r>
            <w:r>
              <w:rPr>
                <w:rFonts w:ascii="Times New Roman" w:hAnsi="宋体" w:eastAsia="宋体" w:cs="Times New Roman"/>
                <w:color w:val="000000" w:themeColor="text1"/>
                <w:kern w:val="0"/>
                <w:szCs w:val="21"/>
                <w:highlight w:val="none"/>
                <w14:textFill>
                  <w14:solidFill>
                    <w14:schemeClr w14:val="tx1"/>
                  </w14:solidFill>
                </w14:textFill>
              </w:rPr>
              <w:t>自适应以太网接口，</w:t>
            </w:r>
            <w:r>
              <w:rPr>
                <w:rFonts w:ascii="Times New Roman" w:hAnsi="Times New Roman" w:eastAsia="宋体" w:cs="Times New Roman"/>
                <w:color w:val="000000" w:themeColor="text1"/>
                <w:kern w:val="0"/>
                <w:szCs w:val="21"/>
                <w:highlight w:val="none"/>
                <w14:textFill>
                  <w14:solidFill>
                    <w14:schemeClr w14:val="tx1"/>
                  </w14:solidFill>
                </w14:textFill>
              </w:rPr>
              <w:t xml:space="preserve">≥1 </w:t>
            </w:r>
            <w:r>
              <w:rPr>
                <w:rFonts w:ascii="Times New Roman" w:hAnsi="宋体" w:eastAsia="宋体" w:cs="Times New Roman"/>
                <w:color w:val="000000" w:themeColor="text1"/>
                <w:kern w:val="0"/>
                <w:szCs w:val="21"/>
                <w:highlight w:val="none"/>
                <w14:textFill>
                  <w14:solidFill>
                    <w14:schemeClr w14:val="tx1"/>
                  </w14:solidFill>
                </w14:textFill>
              </w:rPr>
              <w:t>路串行通讯接口，工作温度</w:t>
            </w:r>
            <w:r>
              <w:rPr>
                <w:rFonts w:ascii="Times New Roman" w:hAnsi="Times New Roman" w:eastAsia="宋体" w:cs="Times New Roman"/>
                <w:color w:val="000000" w:themeColor="text1"/>
                <w:kern w:val="0"/>
                <w:szCs w:val="21"/>
                <w:highlight w:val="none"/>
                <w14:textFill>
                  <w14:solidFill>
                    <w14:schemeClr w14:val="tx1"/>
                  </w14:solidFill>
                </w14:textFill>
              </w:rPr>
              <w:t>0~50℃</w:t>
            </w:r>
            <w:r>
              <w:rPr>
                <w:rFonts w:ascii="Times New Roman" w:hAnsi="宋体" w:eastAsia="宋体" w:cs="Times New Roman"/>
                <w:color w:val="000000" w:themeColor="text1"/>
                <w:kern w:val="0"/>
                <w:szCs w:val="21"/>
                <w:highlight w:val="none"/>
                <w14:textFill>
                  <w14:solidFill>
                    <w14:schemeClr w14:val="tx1"/>
                  </w14:solidFill>
                </w14:textFill>
              </w:rPr>
              <w:t>，触摸屏前面板符合</w:t>
            </w:r>
            <w:r>
              <w:rPr>
                <w:rFonts w:ascii="Times New Roman" w:hAnsi="Times New Roman" w:eastAsia="宋体" w:cs="Times New Roman"/>
                <w:color w:val="000000" w:themeColor="text1"/>
                <w:kern w:val="0"/>
                <w:szCs w:val="21"/>
                <w:highlight w:val="none"/>
                <w14:textFill>
                  <w14:solidFill>
                    <w14:schemeClr w14:val="tx1"/>
                  </w14:solidFill>
                </w14:textFill>
              </w:rPr>
              <w:t xml:space="preserve"> IP65</w:t>
            </w:r>
            <w:r>
              <w:rPr>
                <w:rFonts w:ascii="Times New Roman" w:hAnsi="宋体" w:eastAsia="宋体" w:cs="Times New Roman"/>
                <w:color w:val="000000" w:themeColor="text1"/>
                <w:kern w:val="0"/>
                <w:szCs w:val="21"/>
                <w:highlight w:val="none"/>
                <w14:textFill>
                  <w14:solidFill>
                    <w14:schemeClr w14:val="tx1"/>
                  </w14:solidFill>
                </w14:textFill>
              </w:rPr>
              <w:t>，机身后壳符合</w:t>
            </w:r>
            <w:r>
              <w:rPr>
                <w:rFonts w:ascii="Times New Roman" w:hAnsi="Times New Roman" w:eastAsia="宋体" w:cs="Times New Roman"/>
                <w:color w:val="000000" w:themeColor="text1"/>
                <w:kern w:val="0"/>
                <w:szCs w:val="21"/>
                <w:highlight w:val="none"/>
                <w14:textFill>
                  <w14:solidFill>
                    <w14:schemeClr w14:val="tx1"/>
                  </w14:solidFill>
                </w14:textFill>
              </w:rPr>
              <w:t>IP20</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63" w:type="dxa"/>
            <w:tcBorders>
              <w:top w:val="nil"/>
              <w:left w:val="nil"/>
              <w:bottom w:val="single" w:color="auto" w:sz="4" w:space="0"/>
              <w:right w:val="single" w:color="auto" w:sz="4" w:space="0"/>
            </w:tcBorders>
            <w:vAlign w:val="center"/>
          </w:tcPr>
          <w:p w14:paraId="6E1D39F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vAlign w:val="center"/>
          </w:tcPr>
          <w:p w14:paraId="311FEF8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6F115C6F">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4C8E047E">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45EB61B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9C8DBB2">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5D6F99C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9</w:t>
            </w:r>
          </w:p>
        </w:tc>
        <w:tc>
          <w:tcPr>
            <w:tcW w:w="1276" w:type="dxa"/>
            <w:tcBorders>
              <w:top w:val="nil"/>
              <w:left w:val="nil"/>
              <w:bottom w:val="single" w:color="auto" w:sz="4" w:space="0"/>
              <w:right w:val="single" w:color="auto" w:sz="4" w:space="0"/>
            </w:tcBorders>
            <w:vAlign w:val="center"/>
          </w:tcPr>
          <w:p w14:paraId="1D682E4D">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网络设备</w:t>
            </w:r>
          </w:p>
        </w:tc>
        <w:tc>
          <w:tcPr>
            <w:tcW w:w="2114" w:type="dxa"/>
            <w:tcBorders>
              <w:top w:val="nil"/>
              <w:left w:val="nil"/>
              <w:bottom w:val="single" w:color="auto" w:sz="4" w:space="0"/>
              <w:right w:val="single" w:color="auto" w:sz="4" w:space="0"/>
            </w:tcBorders>
            <w:vAlign w:val="center"/>
          </w:tcPr>
          <w:p w14:paraId="2515665F">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工业级机架式，</w:t>
            </w:r>
            <w:r>
              <w:rPr>
                <w:rFonts w:ascii="Times New Roman" w:hAnsi="Times New Roman" w:eastAsia="宋体" w:cs="Times New Roman"/>
                <w:color w:val="000000" w:themeColor="text1"/>
                <w:kern w:val="0"/>
                <w:szCs w:val="21"/>
                <w:highlight w:val="none"/>
                <w14:textFill>
                  <w14:solidFill>
                    <w14:schemeClr w14:val="tx1"/>
                  </w14:solidFill>
                </w14:textFill>
              </w:rPr>
              <w:t xml:space="preserve"> 24 </w:t>
            </w:r>
            <w:r>
              <w:rPr>
                <w:rFonts w:ascii="Times New Roman" w:hAnsi="宋体" w:eastAsia="宋体" w:cs="Times New Roman"/>
                <w:color w:val="000000" w:themeColor="text1"/>
                <w:kern w:val="0"/>
                <w:szCs w:val="21"/>
                <w:highlight w:val="none"/>
                <w14:textFill>
                  <w14:solidFill>
                    <w14:schemeClr w14:val="tx1"/>
                  </w14:solidFill>
                </w14:textFill>
              </w:rPr>
              <w:t>千兆电口、</w:t>
            </w:r>
            <w:r>
              <w:rPr>
                <w:rFonts w:ascii="Times New Roman" w:hAnsi="Times New Roman" w:eastAsia="宋体" w:cs="Times New Roman"/>
                <w:color w:val="000000" w:themeColor="text1"/>
                <w:kern w:val="0"/>
                <w:szCs w:val="21"/>
                <w:highlight w:val="none"/>
                <w14:textFill>
                  <w14:solidFill>
                    <w14:schemeClr w14:val="tx1"/>
                  </w14:solidFill>
                </w14:textFill>
              </w:rPr>
              <w:t xml:space="preserve">4 </w:t>
            </w:r>
            <w:r>
              <w:rPr>
                <w:rFonts w:ascii="Times New Roman" w:hAnsi="宋体" w:eastAsia="宋体" w:cs="Times New Roman"/>
                <w:color w:val="000000" w:themeColor="text1"/>
                <w:kern w:val="0"/>
                <w:szCs w:val="21"/>
                <w:highlight w:val="none"/>
                <w14:textFill>
                  <w14:solidFill>
                    <w14:schemeClr w14:val="tx1"/>
                  </w14:solidFill>
                </w14:textFill>
              </w:rPr>
              <w:t>千兆光口</w:t>
            </w:r>
          </w:p>
        </w:tc>
        <w:tc>
          <w:tcPr>
            <w:tcW w:w="863" w:type="dxa"/>
            <w:tcBorders>
              <w:top w:val="nil"/>
              <w:left w:val="nil"/>
              <w:bottom w:val="single" w:color="auto" w:sz="4" w:space="0"/>
              <w:right w:val="single" w:color="auto" w:sz="4" w:space="0"/>
            </w:tcBorders>
            <w:vAlign w:val="center"/>
          </w:tcPr>
          <w:p w14:paraId="3DA92A9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vAlign w:val="center"/>
          </w:tcPr>
          <w:p w14:paraId="40C41EA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1A7046B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55E2667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6CD66F8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70955EE1">
        <w:tblPrEx>
          <w:tblCellMar>
            <w:top w:w="0" w:type="dxa"/>
            <w:left w:w="108" w:type="dxa"/>
            <w:bottom w:w="0" w:type="dxa"/>
            <w:right w:w="108" w:type="dxa"/>
          </w:tblCellMar>
        </w:tblPrEx>
        <w:trPr>
          <w:cantSplit/>
          <w:trHeight w:val="520" w:hRule="atLeast"/>
        </w:trPr>
        <w:tc>
          <w:tcPr>
            <w:tcW w:w="709" w:type="dxa"/>
            <w:tcBorders>
              <w:top w:val="single" w:color="auto" w:sz="4" w:space="0"/>
              <w:left w:val="single" w:color="auto" w:sz="4" w:space="0"/>
              <w:bottom w:val="single" w:color="auto" w:sz="4" w:space="0"/>
              <w:right w:val="single" w:color="auto" w:sz="4" w:space="0"/>
            </w:tcBorders>
            <w:vAlign w:val="center"/>
          </w:tcPr>
          <w:p w14:paraId="744CF11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10</w:t>
            </w:r>
          </w:p>
        </w:tc>
        <w:tc>
          <w:tcPr>
            <w:tcW w:w="1276" w:type="dxa"/>
            <w:tcBorders>
              <w:top w:val="single" w:color="auto" w:sz="4" w:space="0"/>
              <w:left w:val="nil"/>
              <w:bottom w:val="single" w:color="auto" w:sz="4" w:space="0"/>
              <w:right w:val="single" w:color="auto" w:sz="4" w:space="0"/>
            </w:tcBorders>
            <w:vAlign w:val="center"/>
          </w:tcPr>
          <w:p w14:paraId="2891A82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屏体</w:t>
            </w:r>
          </w:p>
        </w:tc>
        <w:tc>
          <w:tcPr>
            <w:tcW w:w="2114" w:type="dxa"/>
            <w:tcBorders>
              <w:top w:val="single" w:color="auto" w:sz="4" w:space="0"/>
              <w:left w:val="nil"/>
              <w:bottom w:val="single" w:color="auto" w:sz="4" w:space="0"/>
              <w:right w:val="single" w:color="auto" w:sz="4" w:space="0"/>
            </w:tcBorders>
            <w:vAlign w:val="center"/>
          </w:tcPr>
          <w:p w14:paraId="55EAB0BC">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2260*800*600mm</w:t>
            </w:r>
            <w:r>
              <w:rPr>
                <w:rFonts w:ascii="Times New Roman" w:hAnsi="宋体" w:eastAsia="宋体" w:cs="Times New Roman"/>
                <w:color w:val="000000" w:themeColor="text1"/>
                <w:kern w:val="0"/>
                <w:szCs w:val="21"/>
                <w:highlight w:val="none"/>
                <w14:textFill>
                  <w14:solidFill>
                    <w14:schemeClr w14:val="tx1"/>
                  </w14:solidFill>
                </w14:textFill>
              </w:rPr>
              <w:t>，继电器、空开、开关电源、端子排、照明、温湿度控制等。</w:t>
            </w:r>
          </w:p>
        </w:tc>
        <w:tc>
          <w:tcPr>
            <w:tcW w:w="863" w:type="dxa"/>
            <w:tcBorders>
              <w:top w:val="single" w:color="auto" w:sz="4" w:space="0"/>
              <w:left w:val="nil"/>
              <w:bottom w:val="single" w:color="auto" w:sz="4" w:space="0"/>
              <w:right w:val="single" w:color="auto" w:sz="4" w:space="0"/>
            </w:tcBorders>
            <w:vAlign w:val="center"/>
          </w:tcPr>
          <w:p w14:paraId="530ADB1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vAlign w:val="center"/>
          </w:tcPr>
          <w:p w14:paraId="1718C6B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single" w:color="auto" w:sz="4" w:space="0"/>
              <w:left w:val="nil"/>
              <w:bottom w:val="single" w:color="auto" w:sz="4" w:space="0"/>
              <w:right w:val="single" w:color="auto" w:sz="4" w:space="0"/>
            </w:tcBorders>
            <w:noWrap/>
            <w:vAlign w:val="bottom"/>
          </w:tcPr>
          <w:p w14:paraId="25589F8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single" w:color="auto" w:sz="4" w:space="0"/>
              <w:left w:val="nil"/>
              <w:bottom w:val="single" w:color="auto" w:sz="4" w:space="0"/>
              <w:right w:val="single" w:color="auto" w:sz="4" w:space="0"/>
            </w:tcBorders>
            <w:noWrap/>
            <w:vAlign w:val="bottom"/>
          </w:tcPr>
          <w:p w14:paraId="6859A19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bottom"/>
          </w:tcPr>
          <w:p w14:paraId="187568E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2185C5A">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17F6B6D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11</w:t>
            </w:r>
          </w:p>
        </w:tc>
        <w:tc>
          <w:tcPr>
            <w:tcW w:w="1276" w:type="dxa"/>
            <w:tcBorders>
              <w:top w:val="nil"/>
              <w:left w:val="nil"/>
              <w:bottom w:val="single" w:color="auto" w:sz="4" w:space="0"/>
              <w:right w:val="single" w:color="auto" w:sz="4" w:space="0"/>
            </w:tcBorders>
            <w:vAlign w:val="center"/>
          </w:tcPr>
          <w:p w14:paraId="68BFC7B0">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设备安装调试</w:t>
            </w:r>
          </w:p>
        </w:tc>
        <w:tc>
          <w:tcPr>
            <w:tcW w:w="2114" w:type="dxa"/>
            <w:tcBorders>
              <w:top w:val="nil"/>
              <w:left w:val="nil"/>
              <w:bottom w:val="single" w:color="auto" w:sz="4" w:space="0"/>
              <w:right w:val="single" w:color="auto" w:sz="4" w:space="0"/>
            </w:tcBorders>
            <w:vAlign w:val="center"/>
          </w:tcPr>
          <w:p w14:paraId="41F903FD">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原有机柜、线缆等拆除、新机柜安装、接线、调试</w:t>
            </w:r>
          </w:p>
        </w:tc>
        <w:tc>
          <w:tcPr>
            <w:tcW w:w="863" w:type="dxa"/>
            <w:tcBorders>
              <w:top w:val="nil"/>
              <w:left w:val="nil"/>
              <w:bottom w:val="single" w:color="auto" w:sz="4" w:space="0"/>
              <w:right w:val="single" w:color="auto" w:sz="4" w:space="0"/>
            </w:tcBorders>
            <w:vAlign w:val="center"/>
          </w:tcPr>
          <w:p w14:paraId="4CE832F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nil"/>
              <w:left w:val="nil"/>
              <w:bottom w:val="single" w:color="auto" w:sz="4" w:space="0"/>
              <w:right w:val="single" w:color="auto" w:sz="4" w:space="0"/>
            </w:tcBorders>
            <w:vAlign w:val="center"/>
          </w:tcPr>
          <w:p w14:paraId="5223BC4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276" w:type="dxa"/>
            <w:tcBorders>
              <w:top w:val="nil"/>
              <w:left w:val="nil"/>
              <w:bottom w:val="single" w:color="auto" w:sz="4" w:space="0"/>
              <w:right w:val="single" w:color="auto" w:sz="4" w:space="0"/>
            </w:tcBorders>
            <w:noWrap/>
            <w:vAlign w:val="bottom"/>
          </w:tcPr>
          <w:p w14:paraId="7878D1C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56C4603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6FE85B9F">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D916C2A">
        <w:tblPrEx>
          <w:tblCellMar>
            <w:top w:w="0" w:type="dxa"/>
            <w:left w:w="108" w:type="dxa"/>
            <w:bottom w:w="0" w:type="dxa"/>
            <w:right w:w="108" w:type="dxa"/>
          </w:tblCellMar>
        </w:tblPrEx>
        <w:trPr>
          <w:cantSplit/>
          <w:trHeight w:val="417" w:hRule="atLeast"/>
        </w:trPr>
        <w:tc>
          <w:tcPr>
            <w:tcW w:w="709" w:type="dxa"/>
            <w:tcBorders>
              <w:top w:val="nil"/>
              <w:left w:val="single" w:color="auto" w:sz="4" w:space="0"/>
              <w:bottom w:val="single" w:color="auto" w:sz="4" w:space="0"/>
              <w:right w:val="single" w:color="auto" w:sz="4" w:space="0"/>
            </w:tcBorders>
            <w:noWrap/>
            <w:vAlign w:val="bottom"/>
          </w:tcPr>
          <w:p w14:paraId="75235F9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vAlign w:val="center"/>
          </w:tcPr>
          <w:p w14:paraId="5F84BC8E">
            <w:pPr>
              <w:widowControl/>
              <w:jc w:val="center"/>
              <w:rPr>
                <w:rFonts w:ascii="Times New Roman" w:hAnsi="Times New Roman" w:eastAsia="宋体" w:cs="Times New Roman"/>
                <w:b/>
                <w:color w:val="000000" w:themeColor="text1"/>
                <w:kern w:val="0"/>
                <w:szCs w:val="21"/>
                <w:highlight w:val="none"/>
                <w14:textFill>
                  <w14:solidFill>
                    <w14:schemeClr w14:val="tx1"/>
                  </w14:solidFill>
                </w14:textFill>
              </w:rPr>
            </w:pPr>
            <w:r>
              <w:rPr>
                <w:rFonts w:ascii="Times New Roman" w:hAnsi="宋体" w:eastAsia="宋体" w:cs="Times New Roman"/>
                <w:b/>
                <w:color w:val="000000" w:themeColor="text1"/>
                <w:kern w:val="0"/>
                <w:szCs w:val="21"/>
                <w:highlight w:val="none"/>
                <w14:textFill>
                  <w14:solidFill>
                    <w14:schemeClr w14:val="tx1"/>
                  </w14:solidFill>
                </w14:textFill>
              </w:rPr>
              <w:t>小计</w:t>
            </w:r>
          </w:p>
        </w:tc>
        <w:tc>
          <w:tcPr>
            <w:tcW w:w="2114" w:type="dxa"/>
            <w:tcBorders>
              <w:top w:val="nil"/>
              <w:left w:val="nil"/>
              <w:bottom w:val="single" w:color="auto" w:sz="4" w:space="0"/>
              <w:right w:val="single" w:color="auto" w:sz="4" w:space="0"/>
            </w:tcBorders>
            <w:noWrap/>
            <w:vAlign w:val="bottom"/>
          </w:tcPr>
          <w:p w14:paraId="0E358B3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63" w:type="dxa"/>
            <w:tcBorders>
              <w:top w:val="nil"/>
              <w:left w:val="nil"/>
              <w:bottom w:val="single" w:color="auto" w:sz="4" w:space="0"/>
              <w:right w:val="single" w:color="auto" w:sz="4" w:space="0"/>
            </w:tcBorders>
            <w:noWrap/>
            <w:vAlign w:val="bottom"/>
          </w:tcPr>
          <w:p w14:paraId="30DBDE8C">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63DE1B7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276" w:type="dxa"/>
            <w:tcBorders>
              <w:top w:val="nil"/>
              <w:left w:val="nil"/>
              <w:bottom w:val="single" w:color="auto" w:sz="4" w:space="0"/>
              <w:right w:val="single" w:color="auto" w:sz="4" w:space="0"/>
            </w:tcBorders>
            <w:noWrap/>
            <w:vAlign w:val="bottom"/>
          </w:tcPr>
          <w:p w14:paraId="1D79B6D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34" w:type="dxa"/>
            <w:tcBorders>
              <w:top w:val="nil"/>
              <w:left w:val="nil"/>
              <w:bottom w:val="single" w:color="auto" w:sz="4" w:space="0"/>
              <w:right w:val="single" w:color="auto" w:sz="4" w:space="0"/>
            </w:tcBorders>
            <w:noWrap/>
            <w:vAlign w:val="bottom"/>
          </w:tcPr>
          <w:p w14:paraId="006075E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39D316F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bl>
    <w:p w14:paraId="02FA77D1">
      <w:pPr>
        <w:widowControl/>
        <w:jc w:val="left"/>
        <w:textAlignment w:val="center"/>
        <w:rPr>
          <w:rFonts w:ascii="Times New Roman" w:hAnsi="Times New Roman" w:eastAsia="宋体" w:cs="Times New Roman"/>
          <w:color w:val="000000" w:themeColor="text1"/>
          <w:kern w:val="0"/>
          <w:szCs w:val="21"/>
          <w:highlight w:val="none"/>
          <w14:textFill>
            <w14:solidFill>
              <w14:schemeClr w14:val="tx1"/>
            </w14:solidFill>
          </w14:textFill>
        </w:rPr>
      </w:pPr>
    </w:p>
    <w:p w14:paraId="28B9397D">
      <w:pPr>
        <w:widowControl/>
        <w:jc w:val="left"/>
        <w:textAlignment w:val="center"/>
        <w:rPr>
          <w:rFonts w:ascii="Times New Roman" w:hAnsi="Times New Roman" w:eastAsia="宋体" w:cs="Times New Roman"/>
          <w:color w:val="000000" w:themeColor="text1"/>
          <w:kern w:val="0"/>
          <w:szCs w:val="21"/>
          <w:highlight w:val="none"/>
          <w14:textFill>
            <w14:solidFill>
              <w14:schemeClr w14:val="tx1"/>
            </w14:solidFill>
          </w14:textFill>
        </w:rPr>
      </w:pPr>
    </w:p>
    <w:tbl>
      <w:tblPr>
        <w:tblStyle w:val="51"/>
        <w:tblW w:w="0" w:type="auto"/>
        <w:tblInd w:w="108" w:type="dxa"/>
        <w:tblLayout w:type="fixed"/>
        <w:tblCellMar>
          <w:top w:w="0" w:type="dxa"/>
          <w:left w:w="108" w:type="dxa"/>
          <w:bottom w:w="0" w:type="dxa"/>
          <w:right w:w="108" w:type="dxa"/>
        </w:tblCellMar>
      </w:tblPr>
      <w:tblGrid>
        <w:gridCol w:w="709"/>
        <w:gridCol w:w="1400"/>
        <w:gridCol w:w="2303"/>
        <w:gridCol w:w="833"/>
        <w:gridCol w:w="992"/>
        <w:gridCol w:w="1182"/>
        <w:gridCol w:w="945"/>
        <w:gridCol w:w="758"/>
      </w:tblGrid>
      <w:tr w14:paraId="4CDCFFA6">
        <w:tblPrEx>
          <w:tblCellMar>
            <w:top w:w="0" w:type="dxa"/>
            <w:left w:w="108" w:type="dxa"/>
            <w:bottom w:w="0" w:type="dxa"/>
            <w:right w:w="108" w:type="dxa"/>
          </w:tblCellMar>
        </w:tblPrEx>
        <w:trPr>
          <w:cantSplit/>
          <w:trHeight w:val="280" w:hRule="atLeast"/>
        </w:trPr>
        <w:tc>
          <w:tcPr>
            <w:tcW w:w="9122" w:type="dxa"/>
            <w:gridSpan w:val="8"/>
            <w:tcBorders>
              <w:top w:val="nil"/>
              <w:left w:val="nil"/>
              <w:bottom w:val="single" w:color="auto" w:sz="4" w:space="0"/>
              <w:right w:val="nil"/>
            </w:tcBorders>
            <w:noWrap/>
            <w:vAlign w:val="bottom"/>
          </w:tcPr>
          <w:p w14:paraId="0DB44CC9">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附表二：直流屏配置表</w:t>
            </w:r>
          </w:p>
        </w:tc>
      </w:tr>
      <w:tr w14:paraId="6C75797E">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71A6F555">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序号</w:t>
            </w:r>
          </w:p>
        </w:tc>
        <w:tc>
          <w:tcPr>
            <w:tcW w:w="1400" w:type="dxa"/>
            <w:tcBorders>
              <w:top w:val="nil"/>
              <w:left w:val="nil"/>
              <w:bottom w:val="single" w:color="auto" w:sz="4" w:space="0"/>
              <w:right w:val="single" w:color="auto" w:sz="4" w:space="0"/>
            </w:tcBorders>
            <w:noWrap/>
            <w:vAlign w:val="center"/>
          </w:tcPr>
          <w:p w14:paraId="7E97124E">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项目名称</w:t>
            </w:r>
          </w:p>
        </w:tc>
        <w:tc>
          <w:tcPr>
            <w:tcW w:w="2303" w:type="dxa"/>
            <w:tcBorders>
              <w:top w:val="nil"/>
              <w:left w:val="nil"/>
              <w:bottom w:val="single" w:color="auto" w:sz="4" w:space="0"/>
              <w:right w:val="single" w:color="auto" w:sz="4" w:space="0"/>
            </w:tcBorders>
            <w:noWrap/>
            <w:vAlign w:val="center"/>
          </w:tcPr>
          <w:p w14:paraId="52B231D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项目特征</w:t>
            </w:r>
            <w:r>
              <w:rPr>
                <w:rFonts w:ascii="Times New Roman" w:hAnsi="Times New Roman" w:eastAsia="宋体" w:cs="Times New Roman"/>
                <w:b/>
                <w:bCs/>
                <w:color w:val="000000" w:themeColor="text1"/>
                <w:kern w:val="0"/>
                <w:szCs w:val="21"/>
                <w:highlight w:val="none"/>
                <w14:textFill>
                  <w14:solidFill>
                    <w14:schemeClr w14:val="tx1"/>
                  </w14:solidFill>
                </w14:textFill>
              </w:rPr>
              <w:t>(</w:t>
            </w:r>
            <w:r>
              <w:rPr>
                <w:rFonts w:ascii="Times New Roman" w:hAnsi="宋体" w:eastAsia="宋体" w:cs="Times New Roman"/>
                <w:b/>
                <w:bCs/>
                <w:color w:val="000000" w:themeColor="text1"/>
                <w:kern w:val="0"/>
                <w:szCs w:val="21"/>
                <w:highlight w:val="none"/>
                <w14:textFill>
                  <w14:solidFill>
                    <w14:schemeClr w14:val="tx1"/>
                  </w14:solidFill>
                </w14:textFill>
              </w:rPr>
              <w:t>含规格、型号等</w:t>
            </w:r>
          </w:p>
        </w:tc>
        <w:tc>
          <w:tcPr>
            <w:tcW w:w="833" w:type="dxa"/>
            <w:tcBorders>
              <w:top w:val="nil"/>
              <w:left w:val="nil"/>
              <w:bottom w:val="single" w:color="auto" w:sz="4" w:space="0"/>
              <w:right w:val="single" w:color="auto" w:sz="4" w:space="0"/>
            </w:tcBorders>
            <w:noWrap/>
            <w:vAlign w:val="center"/>
          </w:tcPr>
          <w:p w14:paraId="611493DD">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单位</w:t>
            </w:r>
          </w:p>
        </w:tc>
        <w:tc>
          <w:tcPr>
            <w:tcW w:w="992" w:type="dxa"/>
            <w:tcBorders>
              <w:top w:val="nil"/>
              <w:left w:val="nil"/>
              <w:bottom w:val="single" w:color="auto" w:sz="4" w:space="0"/>
              <w:right w:val="single" w:color="auto" w:sz="4" w:space="0"/>
            </w:tcBorders>
            <w:noWrap/>
            <w:vAlign w:val="center"/>
          </w:tcPr>
          <w:p w14:paraId="6B6D8759">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工程量</w:t>
            </w:r>
          </w:p>
        </w:tc>
        <w:tc>
          <w:tcPr>
            <w:tcW w:w="1182" w:type="dxa"/>
            <w:tcBorders>
              <w:top w:val="nil"/>
              <w:left w:val="nil"/>
              <w:bottom w:val="single" w:color="auto" w:sz="4" w:space="0"/>
              <w:right w:val="single" w:color="auto" w:sz="4" w:space="0"/>
            </w:tcBorders>
            <w:noWrap/>
            <w:vAlign w:val="center"/>
          </w:tcPr>
          <w:p w14:paraId="40FAF05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全费用单价（元）</w:t>
            </w:r>
          </w:p>
        </w:tc>
        <w:tc>
          <w:tcPr>
            <w:tcW w:w="945" w:type="dxa"/>
            <w:tcBorders>
              <w:top w:val="nil"/>
              <w:left w:val="nil"/>
              <w:bottom w:val="single" w:color="auto" w:sz="4" w:space="0"/>
              <w:right w:val="single" w:color="auto" w:sz="4" w:space="0"/>
            </w:tcBorders>
            <w:noWrap/>
            <w:vAlign w:val="center"/>
          </w:tcPr>
          <w:p w14:paraId="32CBA02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合计（元）</w:t>
            </w:r>
          </w:p>
        </w:tc>
        <w:tc>
          <w:tcPr>
            <w:tcW w:w="758" w:type="dxa"/>
            <w:tcBorders>
              <w:top w:val="nil"/>
              <w:left w:val="nil"/>
              <w:bottom w:val="single" w:color="auto" w:sz="4" w:space="0"/>
              <w:right w:val="single" w:color="auto" w:sz="4" w:space="0"/>
            </w:tcBorders>
            <w:noWrap/>
            <w:vAlign w:val="center"/>
          </w:tcPr>
          <w:p w14:paraId="7703A816">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备注</w:t>
            </w:r>
          </w:p>
        </w:tc>
      </w:tr>
      <w:tr w14:paraId="7A895F8E">
        <w:tblPrEx>
          <w:tblCellMar>
            <w:top w:w="0" w:type="dxa"/>
            <w:left w:w="108" w:type="dxa"/>
            <w:bottom w:w="0" w:type="dxa"/>
            <w:right w:w="108" w:type="dxa"/>
          </w:tblCellMar>
        </w:tblPrEx>
        <w:trPr>
          <w:cantSplit/>
          <w:trHeight w:val="325" w:hRule="atLeast"/>
        </w:trPr>
        <w:tc>
          <w:tcPr>
            <w:tcW w:w="709" w:type="dxa"/>
            <w:tcBorders>
              <w:top w:val="nil"/>
              <w:left w:val="single" w:color="auto" w:sz="4" w:space="0"/>
              <w:bottom w:val="single" w:color="auto" w:sz="4" w:space="0"/>
              <w:right w:val="single" w:color="auto" w:sz="4" w:space="0"/>
            </w:tcBorders>
            <w:vAlign w:val="center"/>
          </w:tcPr>
          <w:p w14:paraId="6F088D41">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vAlign w:val="center"/>
          </w:tcPr>
          <w:p w14:paraId="4D0DC913">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直流充电屏</w:t>
            </w:r>
          </w:p>
        </w:tc>
        <w:tc>
          <w:tcPr>
            <w:tcW w:w="2303" w:type="dxa"/>
            <w:tcBorders>
              <w:top w:val="nil"/>
              <w:left w:val="nil"/>
              <w:bottom w:val="single" w:color="auto" w:sz="4" w:space="0"/>
              <w:right w:val="single" w:color="auto" w:sz="4" w:space="0"/>
            </w:tcBorders>
            <w:vAlign w:val="center"/>
          </w:tcPr>
          <w:p w14:paraId="1D3D939F">
            <w:pPr>
              <w:widowControl/>
              <w:wordWrap w:val="0"/>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150Ah</w:t>
            </w:r>
            <w:r>
              <w:rPr>
                <w:rFonts w:ascii="Times New Roman" w:hAnsi="宋体" w:eastAsia="宋体" w:cs="Times New Roman"/>
                <w:b/>
                <w:bCs/>
                <w:color w:val="000000" w:themeColor="text1"/>
                <w:kern w:val="0"/>
                <w:szCs w:val="21"/>
                <w:highlight w:val="none"/>
                <w14:textFill>
                  <w14:solidFill>
                    <w14:schemeClr w14:val="tx1"/>
                  </w14:solidFill>
                </w14:textFill>
              </w:rPr>
              <w:t>，</w:t>
            </w:r>
            <w:r>
              <w:rPr>
                <w:rFonts w:ascii="Times New Roman" w:hAnsi="Times New Roman" w:eastAsia="宋体" w:cs="Times New Roman"/>
                <w:b/>
                <w:bCs/>
                <w:color w:val="000000" w:themeColor="text1"/>
                <w:kern w:val="0"/>
                <w:szCs w:val="21"/>
                <w:highlight w:val="none"/>
                <w14:textFill>
                  <w14:solidFill>
                    <w14:schemeClr w14:val="tx1"/>
                  </w14:solidFill>
                </w14:textFill>
              </w:rPr>
              <w:t>80A</w:t>
            </w:r>
          </w:p>
        </w:tc>
        <w:tc>
          <w:tcPr>
            <w:tcW w:w="833" w:type="dxa"/>
            <w:tcBorders>
              <w:top w:val="nil"/>
              <w:left w:val="nil"/>
              <w:bottom w:val="single" w:color="auto" w:sz="4" w:space="0"/>
              <w:right w:val="single" w:color="auto" w:sz="4" w:space="0"/>
            </w:tcBorders>
            <w:vAlign w:val="center"/>
          </w:tcPr>
          <w:p w14:paraId="6C984BA2">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vAlign w:val="center"/>
          </w:tcPr>
          <w:p w14:paraId="43F345F6">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1182" w:type="dxa"/>
            <w:tcBorders>
              <w:top w:val="nil"/>
              <w:left w:val="nil"/>
              <w:bottom w:val="single" w:color="auto" w:sz="4" w:space="0"/>
              <w:right w:val="single" w:color="auto" w:sz="4" w:space="0"/>
            </w:tcBorders>
            <w:vAlign w:val="center"/>
          </w:tcPr>
          <w:p w14:paraId="1C8CA150">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2F71BD45">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6319107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12FB77DB">
        <w:tblPrEx>
          <w:tblCellMar>
            <w:top w:w="0" w:type="dxa"/>
            <w:left w:w="108" w:type="dxa"/>
            <w:bottom w:w="0" w:type="dxa"/>
            <w:right w:w="108" w:type="dxa"/>
          </w:tblCellMar>
        </w:tblPrEx>
        <w:trPr>
          <w:cantSplit/>
          <w:trHeight w:val="415" w:hRule="atLeast"/>
        </w:trPr>
        <w:tc>
          <w:tcPr>
            <w:tcW w:w="709" w:type="dxa"/>
            <w:tcBorders>
              <w:top w:val="nil"/>
              <w:left w:val="single" w:color="auto" w:sz="4" w:space="0"/>
              <w:bottom w:val="single" w:color="auto" w:sz="4" w:space="0"/>
              <w:right w:val="single" w:color="auto" w:sz="4" w:space="0"/>
            </w:tcBorders>
            <w:vAlign w:val="center"/>
          </w:tcPr>
          <w:p w14:paraId="7B277AC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noWrap/>
            <w:vAlign w:val="center"/>
          </w:tcPr>
          <w:p w14:paraId="449A5B4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系统柜体</w:t>
            </w:r>
          </w:p>
        </w:tc>
        <w:tc>
          <w:tcPr>
            <w:tcW w:w="2303" w:type="dxa"/>
            <w:tcBorders>
              <w:top w:val="nil"/>
              <w:left w:val="nil"/>
              <w:bottom w:val="single" w:color="auto" w:sz="4" w:space="0"/>
              <w:right w:val="single" w:color="auto" w:sz="4" w:space="0"/>
            </w:tcBorders>
            <w:vAlign w:val="center"/>
          </w:tcPr>
          <w:p w14:paraId="784AB829">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2260*800*600mm</w:t>
            </w:r>
          </w:p>
        </w:tc>
        <w:tc>
          <w:tcPr>
            <w:tcW w:w="833" w:type="dxa"/>
            <w:tcBorders>
              <w:top w:val="nil"/>
              <w:left w:val="nil"/>
              <w:bottom w:val="single" w:color="auto" w:sz="4" w:space="0"/>
              <w:right w:val="single" w:color="auto" w:sz="4" w:space="0"/>
            </w:tcBorders>
            <w:noWrap/>
            <w:vAlign w:val="center"/>
          </w:tcPr>
          <w:p w14:paraId="2D0FE2F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55C5F9D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5A831CD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13A4F3B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5E35B79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5EBE0C5">
        <w:tblPrEx>
          <w:tblCellMar>
            <w:top w:w="0" w:type="dxa"/>
            <w:left w:w="108" w:type="dxa"/>
            <w:bottom w:w="0" w:type="dxa"/>
            <w:right w:w="108" w:type="dxa"/>
          </w:tblCellMar>
        </w:tblPrEx>
        <w:trPr>
          <w:cantSplit/>
          <w:trHeight w:val="780" w:hRule="atLeast"/>
        </w:trPr>
        <w:tc>
          <w:tcPr>
            <w:tcW w:w="709" w:type="dxa"/>
            <w:tcBorders>
              <w:top w:val="nil"/>
              <w:left w:val="single" w:color="auto" w:sz="4" w:space="0"/>
              <w:bottom w:val="single" w:color="auto" w:sz="4" w:space="0"/>
              <w:right w:val="single" w:color="auto" w:sz="4" w:space="0"/>
            </w:tcBorders>
            <w:vAlign w:val="center"/>
          </w:tcPr>
          <w:p w14:paraId="3083709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noWrap/>
            <w:vAlign w:val="center"/>
          </w:tcPr>
          <w:p w14:paraId="7979A97E">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系统主监控</w:t>
            </w:r>
          </w:p>
        </w:tc>
        <w:tc>
          <w:tcPr>
            <w:tcW w:w="2303" w:type="dxa"/>
            <w:tcBorders>
              <w:top w:val="nil"/>
              <w:left w:val="nil"/>
              <w:bottom w:val="single" w:color="auto" w:sz="4" w:space="0"/>
              <w:right w:val="single" w:color="auto" w:sz="4" w:space="0"/>
            </w:tcBorders>
            <w:vAlign w:val="center"/>
          </w:tcPr>
          <w:p w14:paraId="59BE45A7">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触摸屏</w:t>
            </w:r>
            <w:r>
              <w:rPr>
                <w:rFonts w:ascii="Times New Roman" w:hAnsi="Times New Roman" w:eastAsia="宋体" w:cs="Times New Roman"/>
                <w:color w:val="000000" w:themeColor="text1"/>
                <w:kern w:val="0"/>
                <w:szCs w:val="21"/>
                <w:highlight w:val="none"/>
                <w14:textFill>
                  <w14:solidFill>
                    <w14:schemeClr w14:val="tx1"/>
                  </w14:solidFill>
                </w14:textFill>
              </w:rPr>
              <w:t>≥7</w:t>
            </w:r>
            <w:r>
              <w:rPr>
                <w:rFonts w:ascii="Times New Roman" w:hAnsi="宋体" w:eastAsia="宋体" w:cs="Times New Roman"/>
                <w:color w:val="000000" w:themeColor="text1"/>
                <w:kern w:val="0"/>
                <w:szCs w:val="21"/>
                <w:highlight w:val="none"/>
                <w14:textFill>
                  <w14:solidFill>
                    <w14:schemeClr w14:val="tx1"/>
                  </w14:solidFill>
                </w14:textFill>
              </w:rPr>
              <w:t>寸，供电范围：</w:t>
            </w:r>
            <w:r>
              <w:rPr>
                <w:rFonts w:ascii="Times New Roman" w:hAnsi="Times New Roman" w:eastAsia="宋体" w:cs="Times New Roman"/>
                <w:color w:val="000000" w:themeColor="text1"/>
                <w:kern w:val="0"/>
                <w:szCs w:val="21"/>
                <w:highlight w:val="none"/>
                <w14:textFill>
                  <w14:solidFill>
                    <w14:schemeClr w14:val="tx1"/>
                  </w14:solidFill>
                </w14:textFill>
              </w:rPr>
              <w:t>80-320VDC</w:t>
            </w:r>
            <w:r>
              <w:rPr>
                <w:rFonts w:ascii="Times New Roman" w:hAnsi="宋体" w:eastAsia="宋体" w:cs="Times New Roman"/>
                <w:color w:val="000000" w:themeColor="text1"/>
                <w:kern w:val="0"/>
                <w:szCs w:val="21"/>
                <w:highlight w:val="none"/>
                <w14:textFill>
                  <w14:solidFill>
                    <w14:schemeClr w14:val="tx1"/>
                  </w14:solidFill>
                </w14:textFill>
              </w:rPr>
              <w:t>或</w:t>
            </w:r>
            <w:r>
              <w:rPr>
                <w:rFonts w:ascii="Times New Roman" w:hAnsi="Times New Roman" w:eastAsia="宋体" w:cs="Times New Roman"/>
                <w:color w:val="000000" w:themeColor="text1"/>
                <w:kern w:val="0"/>
                <w:szCs w:val="21"/>
                <w:highlight w:val="none"/>
                <w14:textFill>
                  <w14:solidFill>
                    <w14:schemeClr w14:val="tx1"/>
                  </w14:solidFill>
                </w14:textFill>
              </w:rPr>
              <w:t>85-250VAC</w:t>
            </w:r>
            <w:r>
              <w:rPr>
                <w:rFonts w:ascii="Times New Roman" w:hAnsi="宋体" w:eastAsia="宋体" w:cs="Times New Roman"/>
                <w:color w:val="000000" w:themeColor="text1"/>
                <w:kern w:val="0"/>
                <w:szCs w:val="21"/>
                <w:highlight w:val="none"/>
                <w14:textFill>
                  <w14:solidFill>
                    <w14:schemeClr w14:val="tx1"/>
                  </w14:solidFill>
                </w14:textFill>
              </w:rPr>
              <w:t>；直流母线电压及电池电压输入：</w:t>
            </w:r>
            <w:r>
              <w:rPr>
                <w:rFonts w:ascii="Times New Roman" w:hAnsi="Times New Roman" w:eastAsia="宋体" w:cs="Times New Roman"/>
                <w:color w:val="000000" w:themeColor="text1"/>
                <w:kern w:val="0"/>
                <w:szCs w:val="21"/>
                <w:highlight w:val="none"/>
                <w14:textFill>
                  <w14:solidFill>
                    <w14:schemeClr w14:val="tx1"/>
                  </w14:solidFill>
                </w14:textFill>
              </w:rPr>
              <w:t>3</w:t>
            </w:r>
            <w:r>
              <w:rPr>
                <w:rFonts w:ascii="Times New Roman" w:hAnsi="宋体" w:eastAsia="宋体" w:cs="Times New Roman"/>
                <w:color w:val="000000" w:themeColor="text1"/>
                <w:kern w:val="0"/>
                <w:szCs w:val="21"/>
                <w:highlight w:val="none"/>
                <w14:textFill>
                  <w14:solidFill>
                    <w14:schemeClr w14:val="tx1"/>
                  </w14:solidFill>
                </w14:textFill>
              </w:rPr>
              <w:t>路，</w:t>
            </w:r>
            <w:r>
              <w:rPr>
                <w:rFonts w:ascii="Times New Roman" w:hAnsi="Times New Roman" w:eastAsia="宋体" w:cs="Times New Roman"/>
                <w:color w:val="000000" w:themeColor="text1"/>
                <w:kern w:val="0"/>
                <w:szCs w:val="21"/>
                <w:highlight w:val="none"/>
                <w14:textFill>
                  <w14:solidFill>
                    <w14:schemeClr w14:val="tx1"/>
                  </w14:solidFill>
                </w14:textFill>
              </w:rPr>
              <w:t>0~300VDC</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4EE8C2D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7C3FFE1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20849FE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25C0CA7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1337FC3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75D1EF94">
        <w:tblPrEx>
          <w:tblCellMar>
            <w:top w:w="0" w:type="dxa"/>
            <w:left w:w="108" w:type="dxa"/>
            <w:bottom w:w="0" w:type="dxa"/>
            <w:right w:w="108" w:type="dxa"/>
          </w:tblCellMar>
        </w:tblPrEx>
        <w:trPr>
          <w:cantSplit/>
          <w:trHeight w:val="520" w:hRule="atLeast"/>
        </w:trPr>
        <w:tc>
          <w:tcPr>
            <w:tcW w:w="709" w:type="dxa"/>
            <w:tcBorders>
              <w:top w:val="nil"/>
              <w:left w:val="single" w:color="auto" w:sz="4" w:space="0"/>
              <w:bottom w:val="single" w:color="auto" w:sz="4" w:space="0"/>
              <w:right w:val="single" w:color="auto" w:sz="4" w:space="0"/>
            </w:tcBorders>
            <w:vAlign w:val="center"/>
          </w:tcPr>
          <w:p w14:paraId="2B9FD89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699D59E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综合测量单元</w:t>
            </w:r>
          </w:p>
        </w:tc>
        <w:tc>
          <w:tcPr>
            <w:tcW w:w="2303" w:type="dxa"/>
            <w:tcBorders>
              <w:top w:val="nil"/>
              <w:left w:val="nil"/>
              <w:bottom w:val="single" w:color="auto" w:sz="4" w:space="0"/>
              <w:right w:val="single" w:color="auto" w:sz="4" w:space="0"/>
            </w:tcBorders>
            <w:vAlign w:val="center"/>
          </w:tcPr>
          <w:p w14:paraId="7AB4CFCD">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检测</w:t>
            </w:r>
            <w:r>
              <w:rPr>
                <w:rFonts w:ascii="Times New Roman" w:hAnsi="Times New Roman" w:eastAsia="宋体" w:cs="Times New Roman"/>
                <w:color w:val="000000" w:themeColor="text1"/>
                <w:kern w:val="0"/>
                <w:szCs w:val="21"/>
                <w:highlight w:val="none"/>
                <w14:textFill>
                  <w14:solidFill>
                    <w14:schemeClr w14:val="tx1"/>
                  </w14:solidFill>
                </w14:textFill>
              </w:rPr>
              <w:t>40</w:t>
            </w:r>
            <w:r>
              <w:rPr>
                <w:rFonts w:ascii="Times New Roman" w:hAnsi="宋体" w:eastAsia="宋体" w:cs="Times New Roman"/>
                <w:color w:val="000000" w:themeColor="text1"/>
                <w:kern w:val="0"/>
                <w:szCs w:val="21"/>
                <w:highlight w:val="none"/>
                <w14:textFill>
                  <w14:solidFill>
                    <w14:schemeClr w14:val="tx1"/>
                  </w14:solidFill>
                </w14:textFill>
              </w:rPr>
              <w:t>个可复用支路（交直流</w:t>
            </w:r>
            <w:r>
              <w:rPr>
                <w:rFonts w:ascii="Times New Roman" w:hAnsi="Times New Roman" w:eastAsia="宋体" w:cs="Times New Roman"/>
                <w:color w:val="000000" w:themeColor="text1"/>
                <w:kern w:val="0"/>
                <w:szCs w:val="21"/>
                <w:highlight w:val="none"/>
                <w14:textFill>
                  <w14:solidFill>
                    <w14:schemeClr w14:val="tx1"/>
                  </w14:solidFill>
                </w14:textFill>
              </w:rPr>
              <w:t>/</w:t>
            </w:r>
            <w:r>
              <w:rPr>
                <w:rFonts w:ascii="Times New Roman" w:hAnsi="宋体" w:eastAsia="宋体" w:cs="Times New Roman"/>
                <w:color w:val="000000" w:themeColor="text1"/>
                <w:kern w:val="0"/>
                <w:szCs w:val="21"/>
                <w:highlight w:val="none"/>
                <w14:textFill>
                  <w14:solidFill>
                    <w14:schemeClr w14:val="tx1"/>
                  </w14:solidFill>
                </w14:textFill>
              </w:rPr>
              <w:t>开关量），需通过上位机下发指令设置支路分配。</w:t>
            </w:r>
          </w:p>
        </w:tc>
        <w:tc>
          <w:tcPr>
            <w:tcW w:w="833" w:type="dxa"/>
            <w:tcBorders>
              <w:top w:val="nil"/>
              <w:left w:val="nil"/>
              <w:bottom w:val="single" w:color="auto" w:sz="4" w:space="0"/>
              <w:right w:val="single" w:color="auto" w:sz="4" w:space="0"/>
            </w:tcBorders>
            <w:noWrap/>
            <w:vAlign w:val="center"/>
          </w:tcPr>
          <w:p w14:paraId="3C5FC5D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05F8DDF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27ADE05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1B1E9D8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7101931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7ADF3576">
        <w:tblPrEx>
          <w:tblCellMar>
            <w:top w:w="0" w:type="dxa"/>
            <w:left w:w="108" w:type="dxa"/>
            <w:bottom w:w="0" w:type="dxa"/>
            <w:right w:w="108" w:type="dxa"/>
          </w:tblCellMar>
        </w:tblPrEx>
        <w:trPr>
          <w:cantSplit/>
          <w:trHeight w:val="1040" w:hRule="atLeast"/>
        </w:trPr>
        <w:tc>
          <w:tcPr>
            <w:tcW w:w="709" w:type="dxa"/>
            <w:tcBorders>
              <w:top w:val="single" w:color="auto" w:sz="4" w:space="0"/>
              <w:left w:val="single" w:color="auto" w:sz="4" w:space="0"/>
              <w:bottom w:val="single" w:color="auto" w:sz="4" w:space="0"/>
              <w:right w:val="single" w:color="auto" w:sz="4" w:space="0"/>
            </w:tcBorders>
            <w:vAlign w:val="center"/>
          </w:tcPr>
          <w:p w14:paraId="7ECC5F6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p>
        </w:tc>
        <w:tc>
          <w:tcPr>
            <w:tcW w:w="1400" w:type="dxa"/>
            <w:tcBorders>
              <w:top w:val="single" w:color="auto" w:sz="4" w:space="0"/>
              <w:left w:val="nil"/>
              <w:bottom w:val="single" w:color="auto" w:sz="4" w:space="0"/>
              <w:right w:val="single" w:color="auto" w:sz="4" w:space="0"/>
            </w:tcBorders>
            <w:noWrap/>
            <w:vAlign w:val="center"/>
          </w:tcPr>
          <w:p w14:paraId="7C25EBA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220V</w:t>
            </w:r>
            <w:r>
              <w:rPr>
                <w:rFonts w:ascii="Times New Roman" w:hAnsi="宋体" w:eastAsia="宋体" w:cs="Times New Roman"/>
                <w:color w:val="000000" w:themeColor="text1"/>
                <w:kern w:val="0"/>
                <w:szCs w:val="21"/>
                <w:highlight w:val="none"/>
                <w14:textFill>
                  <w14:solidFill>
                    <w14:schemeClr w14:val="tx1"/>
                  </w14:solidFill>
                </w14:textFill>
              </w:rPr>
              <w:t>充电模块</w:t>
            </w:r>
          </w:p>
        </w:tc>
        <w:tc>
          <w:tcPr>
            <w:tcW w:w="2303" w:type="dxa"/>
            <w:tcBorders>
              <w:top w:val="single" w:color="auto" w:sz="4" w:space="0"/>
              <w:left w:val="nil"/>
              <w:bottom w:val="single" w:color="auto" w:sz="4" w:space="0"/>
              <w:right w:val="single" w:color="auto" w:sz="4" w:space="0"/>
            </w:tcBorders>
            <w:vAlign w:val="center"/>
          </w:tcPr>
          <w:p w14:paraId="4A241A8A">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高频整流模块先进的</w:t>
            </w:r>
            <w:r>
              <w:rPr>
                <w:rFonts w:ascii="Times New Roman" w:hAnsi="Times New Roman" w:eastAsia="宋体" w:cs="Times New Roman"/>
                <w:color w:val="000000" w:themeColor="text1"/>
                <w:kern w:val="0"/>
                <w:szCs w:val="21"/>
                <w:highlight w:val="none"/>
                <w14:textFill>
                  <w14:solidFill>
                    <w14:schemeClr w14:val="tx1"/>
                  </w14:solidFill>
                </w14:textFill>
              </w:rPr>
              <w:t>LLC</w:t>
            </w:r>
            <w:r>
              <w:rPr>
                <w:rFonts w:ascii="Times New Roman" w:hAnsi="宋体" w:eastAsia="宋体" w:cs="Times New Roman"/>
                <w:color w:val="000000" w:themeColor="text1"/>
                <w:kern w:val="0"/>
                <w:szCs w:val="21"/>
                <w:highlight w:val="none"/>
                <w14:textFill>
                  <w14:solidFill>
                    <w14:schemeClr w14:val="tx1"/>
                  </w14:solidFill>
                </w14:textFill>
              </w:rPr>
              <w:t>谐振软开关技术，效率高；采用无源</w:t>
            </w:r>
            <w:r>
              <w:rPr>
                <w:rFonts w:ascii="Times New Roman" w:hAnsi="Times New Roman" w:eastAsia="宋体" w:cs="Times New Roman"/>
                <w:color w:val="000000" w:themeColor="text1"/>
                <w:kern w:val="0"/>
                <w:szCs w:val="21"/>
                <w:highlight w:val="none"/>
                <w14:textFill>
                  <w14:solidFill>
                    <w14:schemeClr w14:val="tx1"/>
                  </w14:solidFill>
                </w14:textFill>
              </w:rPr>
              <w:t>PFC</w:t>
            </w:r>
            <w:r>
              <w:rPr>
                <w:rFonts w:ascii="Times New Roman" w:hAnsi="宋体" w:eastAsia="宋体" w:cs="Times New Roman"/>
                <w:color w:val="000000" w:themeColor="text1"/>
                <w:kern w:val="0"/>
                <w:szCs w:val="21"/>
                <w:highlight w:val="none"/>
                <w14:textFill>
                  <w14:solidFill>
                    <w14:schemeClr w14:val="tx1"/>
                  </w14:solidFill>
                </w14:textFill>
              </w:rPr>
              <w:t>技术，功率因数高；内置完善的</w:t>
            </w:r>
            <w:r>
              <w:rPr>
                <w:rFonts w:ascii="Times New Roman" w:hAnsi="Times New Roman" w:eastAsia="宋体" w:cs="Times New Roman"/>
                <w:color w:val="000000" w:themeColor="text1"/>
                <w:kern w:val="0"/>
                <w:szCs w:val="21"/>
                <w:highlight w:val="none"/>
                <w14:textFill>
                  <w14:solidFill>
                    <w14:schemeClr w14:val="tx1"/>
                  </w14:solidFill>
                </w14:textFill>
              </w:rPr>
              <w:t>EMC</w:t>
            </w:r>
            <w:r>
              <w:rPr>
                <w:rFonts w:ascii="Times New Roman" w:hAnsi="宋体" w:eastAsia="宋体" w:cs="Times New Roman"/>
                <w:color w:val="000000" w:themeColor="text1"/>
                <w:kern w:val="0"/>
                <w:szCs w:val="21"/>
                <w:highlight w:val="none"/>
                <w14:textFill>
                  <w14:solidFill>
                    <w14:schemeClr w14:val="tx1"/>
                  </w14:solidFill>
                </w14:textFill>
              </w:rPr>
              <w:t>设计，输入电压</w:t>
            </w:r>
            <w:r>
              <w:rPr>
                <w:rFonts w:ascii="Times New Roman" w:hAnsi="Times New Roman" w:eastAsia="宋体" w:cs="Times New Roman"/>
                <w:color w:val="000000" w:themeColor="text1"/>
                <w:kern w:val="0"/>
                <w:szCs w:val="21"/>
                <w:highlight w:val="none"/>
                <w14:textFill>
                  <w14:solidFill>
                    <w14:schemeClr w14:val="tx1"/>
                  </w14:solidFill>
                </w14:textFill>
              </w:rPr>
              <w:t>380VAC</w:t>
            </w:r>
            <w:r>
              <w:rPr>
                <w:rFonts w:ascii="Times New Roman" w:hAnsi="宋体" w:eastAsia="宋体" w:cs="Times New Roman"/>
                <w:color w:val="000000" w:themeColor="text1"/>
                <w:kern w:val="0"/>
                <w:szCs w:val="21"/>
                <w:highlight w:val="none"/>
                <w14:textFill>
                  <w14:solidFill>
                    <w14:schemeClr w14:val="tx1"/>
                  </w14:solidFill>
                </w14:textFill>
              </w:rPr>
              <w:t>，输出额定值：</w:t>
            </w:r>
            <w:r>
              <w:rPr>
                <w:rFonts w:ascii="Times New Roman" w:hAnsi="Times New Roman" w:eastAsia="宋体" w:cs="Times New Roman"/>
                <w:color w:val="000000" w:themeColor="text1"/>
                <w:kern w:val="0"/>
                <w:szCs w:val="21"/>
                <w:highlight w:val="none"/>
                <w14:textFill>
                  <w14:solidFill>
                    <w14:schemeClr w14:val="tx1"/>
                  </w14:solidFill>
                </w14:textFill>
              </w:rPr>
              <w:t>20A/230V</w:t>
            </w:r>
            <w:r>
              <w:rPr>
                <w:rFonts w:ascii="Times New Roman" w:hAnsi="宋体" w:eastAsia="宋体" w:cs="Times New Roman"/>
                <w:color w:val="000000" w:themeColor="text1"/>
                <w:kern w:val="0"/>
                <w:szCs w:val="21"/>
                <w:highlight w:val="none"/>
                <w14:textFill>
                  <w14:solidFill>
                    <w14:schemeClr w14:val="tx1"/>
                  </w14:solidFill>
                </w14:textFill>
              </w:rPr>
              <w:t>；电压调节范围：</w:t>
            </w:r>
            <w:r>
              <w:rPr>
                <w:rFonts w:ascii="Times New Roman" w:hAnsi="Times New Roman" w:eastAsia="宋体" w:cs="Times New Roman"/>
                <w:color w:val="000000" w:themeColor="text1"/>
                <w:kern w:val="0"/>
                <w:szCs w:val="21"/>
                <w:highlight w:val="none"/>
                <w14:textFill>
                  <w14:solidFill>
                    <w14:schemeClr w14:val="tx1"/>
                  </w14:solidFill>
                </w14:textFill>
              </w:rPr>
              <w:t>198~286V</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3C31050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noWrap/>
            <w:vAlign w:val="center"/>
          </w:tcPr>
          <w:p w14:paraId="149388F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p>
        </w:tc>
        <w:tc>
          <w:tcPr>
            <w:tcW w:w="1182" w:type="dxa"/>
            <w:tcBorders>
              <w:top w:val="single" w:color="auto" w:sz="4" w:space="0"/>
              <w:left w:val="nil"/>
              <w:bottom w:val="single" w:color="auto" w:sz="4" w:space="0"/>
              <w:right w:val="single" w:color="auto" w:sz="4" w:space="0"/>
            </w:tcBorders>
            <w:noWrap/>
            <w:vAlign w:val="center"/>
          </w:tcPr>
          <w:p w14:paraId="55B0F4F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33A3DA9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652C52D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516AF8B">
        <w:tblPrEx>
          <w:tblCellMar>
            <w:top w:w="0" w:type="dxa"/>
            <w:left w:w="108" w:type="dxa"/>
            <w:bottom w:w="0" w:type="dxa"/>
            <w:right w:w="108" w:type="dxa"/>
          </w:tblCellMar>
        </w:tblPrEx>
        <w:trPr>
          <w:cantSplit/>
          <w:trHeight w:val="987" w:hRule="atLeast"/>
        </w:trPr>
        <w:tc>
          <w:tcPr>
            <w:tcW w:w="709" w:type="dxa"/>
            <w:tcBorders>
              <w:top w:val="nil"/>
              <w:left w:val="single" w:color="auto" w:sz="4" w:space="0"/>
              <w:bottom w:val="single" w:color="auto" w:sz="4" w:space="0"/>
              <w:right w:val="single" w:color="auto" w:sz="4" w:space="0"/>
            </w:tcBorders>
            <w:vAlign w:val="center"/>
          </w:tcPr>
          <w:p w14:paraId="5076F93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(5)</w:t>
            </w:r>
          </w:p>
        </w:tc>
        <w:tc>
          <w:tcPr>
            <w:tcW w:w="1400" w:type="dxa"/>
            <w:tcBorders>
              <w:top w:val="nil"/>
              <w:left w:val="nil"/>
              <w:bottom w:val="single" w:color="auto" w:sz="4" w:space="0"/>
              <w:right w:val="single" w:color="auto" w:sz="4" w:space="0"/>
            </w:tcBorders>
            <w:noWrap/>
            <w:vAlign w:val="center"/>
          </w:tcPr>
          <w:p w14:paraId="68E1C8D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48V</w:t>
            </w:r>
            <w:r>
              <w:rPr>
                <w:rFonts w:ascii="Times New Roman" w:hAnsi="宋体" w:eastAsia="宋体" w:cs="Times New Roman"/>
                <w:color w:val="000000" w:themeColor="text1"/>
                <w:kern w:val="0"/>
                <w:szCs w:val="21"/>
                <w:highlight w:val="none"/>
                <w14:textFill>
                  <w14:solidFill>
                    <w14:schemeClr w14:val="tx1"/>
                  </w14:solidFill>
                </w14:textFill>
              </w:rPr>
              <w:t>充电模块</w:t>
            </w:r>
          </w:p>
        </w:tc>
        <w:tc>
          <w:tcPr>
            <w:tcW w:w="2303" w:type="dxa"/>
            <w:tcBorders>
              <w:top w:val="nil"/>
              <w:left w:val="nil"/>
              <w:bottom w:val="single" w:color="auto" w:sz="4" w:space="0"/>
              <w:right w:val="single" w:color="auto" w:sz="4" w:space="0"/>
            </w:tcBorders>
            <w:vAlign w:val="center"/>
          </w:tcPr>
          <w:p w14:paraId="6DA45B7F">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采用先进的</w:t>
            </w:r>
            <w:r>
              <w:rPr>
                <w:rFonts w:ascii="Times New Roman" w:hAnsi="Times New Roman" w:eastAsia="宋体" w:cs="Times New Roman"/>
                <w:color w:val="000000" w:themeColor="text1"/>
                <w:kern w:val="0"/>
                <w:szCs w:val="21"/>
                <w:highlight w:val="none"/>
                <w14:textFill>
                  <w14:solidFill>
                    <w14:schemeClr w14:val="tx1"/>
                  </w14:solidFill>
                </w14:textFill>
              </w:rPr>
              <w:t>LLC</w:t>
            </w:r>
            <w:r>
              <w:rPr>
                <w:rFonts w:ascii="Times New Roman" w:hAnsi="宋体" w:eastAsia="宋体" w:cs="Times New Roman"/>
                <w:color w:val="000000" w:themeColor="text1"/>
                <w:kern w:val="0"/>
                <w:szCs w:val="21"/>
                <w:highlight w:val="none"/>
                <w14:textFill>
                  <w14:solidFill>
                    <w14:schemeClr w14:val="tx1"/>
                  </w14:solidFill>
                </w14:textFill>
              </w:rPr>
              <w:t>谐振软开关技术，效率高；采用</w:t>
            </w:r>
            <w:r>
              <w:rPr>
                <w:rFonts w:ascii="Times New Roman" w:hAnsi="Times New Roman" w:eastAsia="宋体" w:cs="Times New Roman"/>
                <w:color w:val="000000" w:themeColor="text1"/>
                <w:kern w:val="0"/>
                <w:szCs w:val="21"/>
                <w:highlight w:val="none"/>
                <w14:textFill>
                  <w14:solidFill>
                    <w14:schemeClr w14:val="tx1"/>
                  </w14:solidFill>
                </w14:textFill>
              </w:rPr>
              <w:t>APFC</w:t>
            </w:r>
            <w:r>
              <w:rPr>
                <w:rFonts w:ascii="Times New Roman" w:hAnsi="宋体" w:eastAsia="宋体" w:cs="Times New Roman"/>
                <w:color w:val="000000" w:themeColor="text1"/>
                <w:kern w:val="0"/>
                <w:szCs w:val="21"/>
                <w:highlight w:val="none"/>
                <w14:textFill>
                  <w14:solidFill>
                    <w14:schemeClr w14:val="tx1"/>
                  </w14:solidFill>
                </w14:textFill>
              </w:rPr>
              <w:t>技术，</w:t>
            </w:r>
            <w:r>
              <w:rPr>
                <w:rFonts w:ascii="Times New Roman" w:hAnsi="Times New Roman" w:eastAsia="宋体" w:cs="Times New Roman"/>
                <w:color w:val="000000" w:themeColor="text1"/>
                <w:kern w:val="0"/>
                <w:szCs w:val="21"/>
                <w:highlight w:val="none"/>
                <w14:textFill>
                  <w14:solidFill>
                    <w14:schemeClr w14:val="tx1"/>
                  </w14:solidFill>
                </w14:textFill>
              </w:rPr>
              <w:t xml:space="preserve"> </w:t>
            </w:r>
            <w:r>
              <w:rPr>
                <w:rFonts w:ascii="Times New Roman" w:hAnsi="宋体" w:eastAsia="宋体" w:cs="Times New Roman"/>
                <w:color w:val="000000" w:themeColor="text1"/>
                <w:kern w:val="0"/>
                <w:szCs w:val="21"/>
                <w:highlight w:val="none"/>
                <w14:textFill>
                  <w14:solidFill>
                    <w14:schemeClr w14:val="tx1"/>
                  </w14:solidFill>
                </w14:textFill>
              </w:rPr>
              <w:t>功率因数高；散热风扇采用温度联合电流控制模式。交流输入电压：</w:t>
            </w:r>
            <w:r>
              <w:rPr>
                <w:rFonts w:ascii="Times New Roman" w:hAnsi="Times New Roman" w:eastAsia="宋体" w:cs="Times New Roman"/>
                <w:color w:val="000000" w:themeColor="text1"/>
                <w:kern w:val="0"/>
                <w:szCs w:val="21"/>
                <w:highlight w:val="none"/>
                <w14:textFill>
                  <w14:solidFill>
                    <w14:schemeClr w14:val="tx1"/>
                  </w14:solidFill>
                </w14:textFill>
              </w:rPr>
              <w:t>100VAC~286VAC</w:t>
            </w:r>
            <w:r>
              <w:rPr>
                <w:rFonts w:ascii="Times New Roman" w:hAnsi="宋体" w:eastAsia="宋体" w:cs="Times New Roman"/>
                <w:color w:val="000000" w:themeColor="text1"/>
                <w:kern w:val="0"/>
                <w:szCs w:val="21"/>
                <w:highlight w:val="none"/>
                <w14:textFill>
                  <w14:solidFill>
                    <w14:schemeClr w14:val="tx1"/>
                  </w14:solidFill>
                </w14:textFill>
              </w:rPr>
              <w:t>；直流输入电源：</w:t>
            </w:r>
            <w:r>
              <w:rPr>
                <w:rFonts w:ascii="Times New Roman" w:hAnsi="Times New Roman" w:eastAsia="宋体" w:cs="Times New Roman"/>
                <w:color w:val="000000" w:themeColor="text1"/>
                <w:kern w:val="0"/>
                <w:szCs w:val="21"/>
                <w:highlight w:val="none"/>
                <w14:textFill>
                  <w14:solidFill>
                    <w14:schemeClr w14:val="tx1"/>
                  </w14:solidFill>
                </w14:textFill>
              </w:rPr>
              <w:t>100VDC~264VDC</w:t>
            </w:r>
            <w:r>
              <w:rPr>
                <w:rFonts w:ascii="Times New Roman" w:hAnsi="宋体" w:eastAsia="宋体" w:cs="Times New Roman"/>
                <w:color w:val="000000" w:themeColor="text1"/>
                <w:kern w:val="0"/>
                <w:szCs w:val="21"/>
                <w:highlight w:val="none"/>
                <w14:textFill>
                  <w14:solidFill>
                    <w14:schemeClr w14:val="tx1"/>
                  </w14:solidFill>
                </w14:textFill>
              </w:rPr>
              <w:t>；输出额定值：</w:t>
            </w:r>
            <w:r>
              <w:rPr>
                <w:rFonts w:ascii="Times New Roman" w:hAnsi="Times New Roman" w:eastAsia="宋体" w:cs="Times New Roman"/>
                <w:color w:val="000000" w:themeColor="text1"/>
                <w:kern w:val="0"/>
                <w:szCs w:val="21"/>
                <w:highlight w:val="none"/>
                <w14:textFill>
                  <w14:solidFill>
                    <w14:schemeClr w14:val="tx1"/>
                  </w14:solidFill>
                </w14:textFill>
              </w:rPr>
              <w:t>20A/48V</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31631CE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57C8CC4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182" w:type="dxa"/>
            <w:tcBorders>
              <w:top w:val="nil"/>
              <w:left w:val="nil"/>
              <w:bottom w:val="single" w:color="auto" w:sz="4" w:space="0"/>
              <w:right w:val="single" w:color="auto" w:sz="4" w:space="0"/>
            </w:tcBorders>
            <w:noWrap/>
            <w:vAlign w:val="center"/>
          </w:tcPr>
          <w:p w14:paraId="746B672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7273821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8894F9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50C018F">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5DC7E21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(6)</w:t>
            </w:r>
          </w:p>
        </w:tc>
        <w:tc>
          <w:tcPr>
            <w:tcW w:w="1400" w:type="dxa"/>
            <w:tcBorders>
              <w:top w:val="nil"/>
              <w:left w:val="nil"/>
              <w:bottom w:val="single" w:color="auto" w:sz="4" w:space="0"/>
              <w:right w:val="single" w:color="auto" w:sz="4" w:space="0"/>
            </w:tcBorders>
            <w:vAlign w:val="center"/>
          </w:tcPr>
          <w:p w14:paraId="071EB78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进线</w:t>
            </w:r>
            <w:r>
              <w:rPr>
                <w:rFonts w:ascii="Times New Roman" w:hAnsi="Times New Roman" w:eastAsia="宋体" w:cs="Times New Roman"/>
                <w:color w:val="000000" w:themeColor="text1"/>
                <w:kern w:val="0"/>
                <w:szCs w:val="21"/>
                <w:highlight w:val="none"/>
                <w14:textFill>
                  <w14:solidFill>
                    <w14:schemeClr w14:val="tx1"/>
                  </w14:solidFill>
                </w14:textFill>
              </w:rPr>
              <w:t>ATS</w:t>
            </w:r>
            <w:r>
              <w:rPr>
                <w:rFonts w:ascii="Times New Roman" w:hAnsi="宋体" w:eastAsia="宋体" w:cs="Times New Roman"/>
                <w:color w:val="000000" w:themeColor="text1"/>
                <w:kern w:val="0"/>
                <w:szCs w:val="21"/>
                <w:highlight w:val="none"/>
                <w14:textFill>
                  <w14:solidFill>
                    <w14:schemeClr w14:val="tx1"/>
                  </w14:solidFill>
                </w14:textFill>
              </w:rPr>
              <w:t>切换装置</w:t>
            </w:r>
          </w:p>
        </w:tc>
        <w:tc>
          <w:tcPr>
            <w:tcW w:w="2303" w:type="dxa"/>
            <w:tcBorders>
              <w:top w:val="nil"/>
              <w:left w:val="nil"/>
              <w:bottom w:val="single" w:color="auto" w:sz="4" w:space="0"/>
              <w:right w:val="single" w:color="auto" w:sz="4" w:space="0"/>
            </w:tcBorders>
            <w:vAlign w:val="center"/>
          </w:tcPr>
          <w:p w14:paraId="715A9EA7">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三相四线，</w:t>
            </w:r>
            <w:r>
              <w:rPr>
                <w:rFonts w:ascii="Times New Roman" w:hAnsi="Times New Roman" w:eastAsia="宋体" w:cs="Times New Roman"/>
                <w:color w:val="000000" w:themeColor="text1"/>
                <w:kern w:val="0"/>
                <w:szCs w:val="21"/>
                <w:highlight w:val="none"/>
                <w14:textFill>
                  <w14:solidFill>
                    <w14:schemeClr w14:val="tx1"/>
                  </w14:solidFill>
                </w14:textFill>
              </w:rPr>
              <w:t>100A</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vAlign w:val="center"/>
          </w:tcPr>
          <w:p w14:paraId="1C43EAD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55E41AC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6F936E9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633DC53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11E9D33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5D084523">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5700517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(7)</w:t>
            </w:r>
          </w:p>
        </w:tc>
        <w:tc>
          <w:tcPr>
            <w:tcW w:w="1400" w:type="dxa"/>
            <w:tcBorders>
              <w:top w:val="nil"/>
              <w:left w:val="nil"/>
              <w:bottom w:val="single" w:color="auto" w:sz="4" w:space="0"/>
              <w:right w:val="single" w:color="auto" w:sz="4" w:space="0"/>
            </w:tcBorders>
            <w:noWrap/>
            <w:vAlign w:val="center"/>
          </w:tcPr>
          <w:p w14:paraId="0953AC5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电池巡检单元</w:t>
            </w:r>
          </w:p>
        </w:tc>
        <w:tc>
          <w:tcPr>
            <w:tcW w:w="2303" w:type="dxa"/>
            <w:tcBorders>
              <w:top w:val="nil"/>
              <w:left w:val="nil"/>
              <w:bottom w:val="single" w:color="auto" w:sz="4" w:space="0"/>
              <w:right w:val="single" w:color="auto" w:sz="4" w:space="0"/>
            </w:tcBorders>
            <w:vAlign w:val="center"/>
          </w:tcPr>
          <w:p w14:paraId="674DC9BB">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监测</w:t>
            </w:r>
            <w:r>
              <w:rPr>
                <w:rFonts w:ascii="Times New Roman" w:hAnsi="Times New Roman" w:eastAsia="宋体" w:cs="Times New Roman"/>
                <w:color w:val="000000" w:themeColor="text1"/>
                <w:kern w:val="0"/>
                <w:szCs w:val="21"/>
                <w:highlight w:val="none"/>
                <w14:textFill>
                  <w14:solidFill>
                    <w14:schemeClr w14:val="tx1"/>
                  </w14:solidFill>
                </w14:textFill>
              </w:rPr>
              <w:t>18</w:t>
            </w:r>
            <w:r>
              <w:rPr>
                <w:rFonts w:ascii="Times New Roman" w:hAnsi="宋体" w:eastAsia="宋体" w:cs="Times New Roman"/>
                <w:color w:val="000000" w:themeColor="text1"/>
                <w:kern w:val="0"/>
                <w:szCs w:val="21"/>
                <w:highlight w:val="none"/>
                <w14:textFill>
                  <w14:solidFill>
                    <w14:schemeClr w14:val="tx1"/>
                  </w14:solidFill>
                </w14:textFill>
              </w:rPr>
              <w:t>节蓄电池，带温度补偿</w:t>
            </w:r>
          </w:p>
        </w:tc>
        <w:tc>
          <w:tcPr>
            <w:tcW w:w="833" w:type="dxa"/>
            <w:tcBorders>
              <w:top w:val="nil"/>
              <w:left w:val="nil"/>
              <w:bottom w:val="single" w:color="auto" w:sz="4" w:space="0"/>
              <w:right w:val="single" w:color="auto" w:sz="4" w:space="0"/>
            </w:tcBorders>
            <w:noWrap/>
            <w:vAlign w:val="center"/>
          </w:tcPr>
          <w:p w14:paraId="55DA1F1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558C1F7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50BFE8B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548EC90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AACF21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87EBA02">
        <w:tblPrEx>
          <w:tblCellMar>
            <w:top w:w="0" w:type="dxa"/>
            <w:left w:w="108" w:type="dxa"/>
            <w:bottom w:w="0" w:type="dxa"/>
            <w:right w:w="108" w:type="dxa"/>
          </w:tblCellMar>
        </w:tblPrEx>
        <w:trPr>
          <w:cantSplit/>
          <w:trHeight w:val="520" w:hRule="atLeast"/>
        </w:trPr>
        <w:tc>
          <w:tcPr>
            <w:tcW w:w="709" w:type="dxa"/>
            <w:tcBorders>
              <w:top w:val="single" w:color="auto" w:sz="4" w:space="0"/>
              <w:left w:val="single" w:color="auto" w:sz="4" w:space="0"/>
              <w:bottom w:val="single" w:color="auto" w:sz="4" w:space="0"/>
              <w:right w:val="single" w:color="auto" w:sz="4" w:space="0"/>
            </w:tcBorders>
            <w:vAlign w:val="center"/>
          </w:tcPr>
          <w:p w14:paraId="13E0043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(8)</w:t>
            </w:r>
          </w:p>
        </w:tc>
        <w:tc>
          <w:tcPr>
            <w:tcW w:w="1400" w:type="dxa"/>
            <w:tcBorders>
              <w:top w:val="single" w:color="auto" w:sz="4" w:space="0"/>
              <w:left w:val="nil"/>
              <w:bottom w:val="single" w:color="auto" w:sz="4" w:space="0"/>
              <w:right w:val="single" w:color="auto" w:sz="4" w:space="0"/>
            </w:tcBorders>
            <w:noWrap/>
            <w:vAlign w:val="center"/>
          </w:tcPr>
          <w:p w14:paraId="35DE983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线缆辅材及结构件</w:t>
            </w:r>
          </w:p>
        </w:tc>
        <w:tc>
          <w:tcPr>
            <w:tcW w:w="2303" w:type="dxa"/>
            <w:tcBorders>
              <w:top w:val="single" w:color="auto" w:sz="4" w:space="0"/>
              <w:left w:val="nil"/>
              <w:bottom w:val="single" w:color="auto" w:sz="4" w:space="0"/>
              <w:right w:val="single" w:color="auto" w:sz="4" w:space="0"/>
            </w:tcBorders>
            <w:vAlign w:val="center"/>
          </w:tcPr>
          <w:p w14:paraId="02B4DB51">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线缆、铜排、保险丝、防雷器、降压硅链模块、电池开关、放电开关、电压表、电流表。</w:t>
            </w:r>
          </w:p>
        </w:tc>
        <w:tc>
          <w:tcPr>
            <w:tcW w:w="833" w:type="dxa"/>
            <w:tcBorders>
              <w:top w:val="single" w:color="auto" w:sz="4" w:space="0"/>
              <w:left w:val="nil"/>
              <w:bottom w:val="single" w:color="auto" w:sz="4" w:space="0"/>
              <w:right w:val="single" w:color="auto" w:sz="4" w:space="0"/>
            </w:tcBorders>
            <w:noWrap/>
            <w:vAlign w:val="center"/>
          </w:tcPr>
          <w:p w14:paraId="240C7A9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noWrap/>
            <w:vAlign w:val="center"/>
          </w:tcPr>
          <w:p w14:paraId="55A8124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5B30AFE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2CD3B3D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213B8E2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C3F6F77">
        <w:tblPrEx>
          <w:tblCellMar>
            <w:top w:w="0" w:type="dxa"/>
            <w:left w:w="108" w:type="dxa"/>
            <w:bottom w:w="0" w:type="dxa"/>
            <w:right w:w="108" w:type="dxa"/>
          </w:tblCellMar>
        </w:tblPrEx>
        <w:trPr>
          <w:cantSplit/>
          <w:trHeight w:val="368" w:hRule="atLeast"/>
        </w:trPr>
        <w:tc>
          <w:tcPr>
            <w:tcW w:w="709" w:type="dxa"/>
            <w:tcBorders>
              <w:top w:val="nil"/>
              <w:left w:val="single" w:color="auto" w:sz="4" w:space="0"/>
              <w:bottom w:val="single" w:color="auto" w:sz="4" w:space="0"/>
              <w:right w:val="single" w:color="auto" w:sz="4" w:space="0"/>
            </w:tcBorders>
            <w:vAlign w:val="center"/>
          </w:tcPr>
          <w:p w14:paraId="43F8533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vAlign w:val="center"/>
          </w:tcPr>
          <w:p w14:paraId="663A529F">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直流馈线屏</w:t>
            </w:r>
          </w:p>
        </w:tc>
        <w:tc>
          <w:tcPr>
            <w:tcW w:w="2303" w:type="dxa"/>
            <w:tcBorders>
              <w:top w:val="nil"/>
              <w:left w:val="nil"/>
              <w:bottom w:val="single" w:color="auto" w:sz="4" w:space="0"/>
              <w:right w:val="single" w:color="auto" w:sz="4" w:space="0"/>
            </w:tcBorders>
            <w:vAlign w:val="center"/>
          </w:tcPr>
          <w:p w14:paraId="4B9C8844">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33" w:type="dxa"/>
            <w:tcBorders>
              <w:top w:val="nil"/>
              <w:left w:val="nil"/>
              <w:bottom w:val="single" w:color="auto" w:sz="4" w:space="0"/>
              <w:right w:val="single" w:color="auto" w:sz="4" w:space="0"/>
            </w:tcBorders>
            <w:vAlign w:val="center"/>
          </w:tcPr>
          <w:p w14:paraId="6DEA000F">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p>
        </w:tc>
        <w:tc>
          <w:tcPr>
            <w:tcW w:w="992" w:type="dxa"/>
            <w:tcBorders>
              <w:top w:val="nil"/>
              <w:left w:val="nil"/>
              <w:bottom w:val="single" w:color="auto" w:sz="4" w:space="0"/>
              <w:right w:val="single" w:color="auto" w:sz="4" w:space="0"/>
            </w:tcBorders>
            <w:vAlign w:val="center"/>
          </w:tcPr>
          <w:p w14:paraId="7D853713">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vAlign w:val="center"/>
          </w:tcPr>
          <w:p w14:paraId="7B5F571C">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66B5787E">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center"/>
          </w:tcPr>
          <w:p w14:paraId="3013113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1D37AD4">
        <w:tblPrEx>
          <w:tblCellMar>
            <w:top w:w="0" w:type="dxa"/>
            <w:left w:w="108" w:type="dxa"/>
            <w:bottom w:w="0" w:type="dxa"/>
            <w:right w:w="108" w:type="dxa"/>
          </w:tblCellMar>
        </w:tblPrEx>
        <w:trPr>
          <w:cantSplit/>
          <w:trHeight w:val="415" w:hRule="atLeast"/>
        </w:trPr>
        <w:tc>
          <w:tcPr>
            <w:tcW w:w="709" w:type="dxa"/>
            <w:tcBorders>
              <w:top w:val="single" w:color="auto" w:sz="4" w:space="0"/>
              <w:left w:val="single" w:color="auto" w:sz="4" w:space="0"/>
              <w:bottom w:val="single" w:color="auto" w:sz="4" w:space="0"/>
              <w:right w:val="single" w:color="auto" w:sz="4" w:space="0"/>
            </w:tcBorders>
            <w:vAlign w:val="center"/>
          </w:tcPr>
          <w:p w14:paraId="797AE45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400" w:type="dxa"/>
            <w:tcBorders>
              <w:top w:val="single" w:color="auto" w:sz="4" w:space="0"/>
              <w:left w:val="nil"/>
              <w:bottom w:val="single" w:color="auto" w:sz="4" w:space="0"/>
              <w:right w:val="single" w:color="auto" w:sz="4" w:space="0"/>
            </w:tcBorders>
            <w:noWrap/>
            <w:vAlign w:val="center"/>
          </w:tcPr>
          <w:p w14:paraId="795079E6">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系统柜体</w:t>
            </w:r>
          </w:p>
        </w:tc>
        <w:tc>
          <w:tcPr>
            <w:tcW w:w="2303" w:type="dxa"/>
            <w:tcBorders>
              <w:top w:val="single" w:color="auto" w:sz="4" w:space="0"/>
              <w:left w:val="nil"/>
              <w:bottom w:val="single" w:color="auto" w:sz="4" w:space="0"/>
              <w:right w:val="single" w:color="auto" w:sz="4" w:space="0"/>
            </w:tcBorders>
            <w:vAlign w:val="center"/>
          </w:tcPr>
          <w:p w14:paraId="732BE72A">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2260*800*600mm</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480300C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single" w:color="auto" w:sz="4" w:space="0"/>
              <w:left w:val="nil"/>
              <w:bottom w:val="single" w:color="auto" w:sz="4" w:space="0"/>
              <w:right w:val="single" w:color="auto" w:sz="4" w:space="0"/>
            </w:tcBorders>
            <w:noWrap/>
            <w:vAlign w:val="center"/>
          </w:tcPr>
          <w:p w14:paraId="0CDB5C3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18C5CB4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1754EA9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noWrap/>
            <w:vAlign w:val="center"/>
          </w:tcPr>
          <w:p w14:paraId="7AA680F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4B2F1273">
        <w:tblPrEx>
          <w:tblCellMar>
            <w:top w:w="0" w:type="dxa"/>
            <w:left w:w="108" w:type="dxa"/>
            <w:bottom w:w="0" w:type="dxa"/>
            <w:right w:w="108" w:type="dxa"/>
          </w:tblCellMar>
        </w:tblPrEx>
        <w:trPr>
          <w:cantSplit/>
          <w:trHeight w:val="562" w:hRule="atLeast"/>
        </w:trPr>
        <w:tc>
          <w:tcPr>
            <w:tcW w:w="709" w:type="dxa"/>
            <w:tcBorders>
              <w:top w:val="nil"/>
              <w:left w:val="single" w:color="auto" w:sz="4" w:space="0"/>
              <w:bottom w:val="single" w:color="auto" w:sz="4" w:space="0"/>
              <w:right w:val="single" w:color="auto" w:sz="4" w:space="0"/>
            </w:tcBorders>
            <w:vAlign w:val="center"/>
          </w:tcPr>
          <w:p w14:paraId="31D0595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w:t>
            </w:r>
          </w:p>
        </w:tc>
        <w:tc>
          <w:tcPr>
            <w:tcW w:w="1400" w:type="dxa"/>
            <w:tcBorders>
              <w:top w:val="nil"/>
              <w:left w:val="nil"/>
              <w:bottom w:val="single" w:color="auto" w:sz="4" w:space="0"/>
              <w:right w:val="single" w:color="auto" w:sz="4" w:space="0"/>
            </w:tcBorders>
            <w:noWrap/>
            <w:vAlign w:val="center"/>
          </w:tcPr>
          <w:p w14:paraId="44DD1A51">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支路绝缘监测</w:t>
            </w:r>
          </w:p>
        </w:tc>
        <w:tc>
          <w:tcPr>
            <w:tcW w:w="2303" w:type="dxa"/>
            <w:tcBorders>
              <w:top w:val="nil"/>
              <w:left w:val="nil"/>
              <w:bottom w:val="single" w:color="auto" w:sz="4" w:space="0"/>
              <w:right w:val="single" w:color="auto" w:sz="4" w:space="0"/>
            </w:tcBorders>
            <w:vAlign w:val="center"/>
          </w:tcPr>
          <w:p w14:paraId="15A2ED8A">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可监测</w:t>
            </w:r>
            <w:r>
              <w:rPr>
                <w:rFonts w:ascii="Times New Roman" w:hAnsi="Times New Roman" w:eastAsia="宋体" w:cs="Times New Roman"/>
                <w:color w:val="000000" w:themeColor="text1"/>
                <w:kern w:val="0"/>
                <w:szCs w:val="21"/>
                <w:highlight w:val="none"/>
                <w14:textFill>
                  <w14:solidFill>
                    <w14:schemeClr w14:val="tx1"/>
                  </w14:solidFill>
                </w14:textFill>
              </w:rPr>
              <w:t>40</w:t>
            </w:r>
            <w:r>
              <w:rPr>
                <w:rFonts w:ascii="Times New Roman" w:hAnsi="宋体" w:eastAsia="宋体" w:cs="Times New Roman"/>
                <w:color w:val="000000" w:themeColor="text1"/>
                <w:kern w:val="0"/>
                <w:szCs w:val="21"/>
                <w:highlight w:val="none"/>
                <w14:textFill>
                  <w14:solidFill>
                    <w14:schemeClr w14:val="tx1"/>
                  </w14:solidFill>
                </w14:textFill>
              </w:rPr>
              <w:t>个直流馈线输出支路绝缘监测，在线监测直流电源系统对地绝缘状况（包括直流母线和各个馈线回路绝缘状况）。</w:t>
            </w:r>
          </w:p>
        </w:tc>
        <w:tc>
          <w:tcPr>
            <w:tcW w:w="833" w:type="dxa"/>
            <w:tcBorders>
              <w:top w:val="nil"/>
              <w:left w:val="nil"/>
              <w:bottom w:val="single" w:color="auto" w:sz="4" w:space="0"/>
              <w:right w:val="single" w:color="auto" w:sz="4" w:space="0"/>
            </w:tcBorders>
            <w:noWrap/>
            <w:vAlign w:val="center"/>
          </w:tcPr>
          <w:p w14:paraId="13E2BEBE">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42BB176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4F2B9DE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37E7208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2C343D4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C2D4FC6">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2A6DD07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183A974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漏电流传感器</w:t>
            </w:r>
          </w:p>
        </w:tc>
        <w:tc>
          <w:tcPr>
            <w:tcW w:w="2303" w:type="dxa"/>
            <w:tcBorders>
              <w:top w:val="nil"/>
              <w:left w:val="nil"/>
              <w:bottom w:val="single" w:color="auto" w:sz="4" w:space="0"/>
              <w:right w:val="single" w:color="auto" w:sz="4" w:space="0"/>
            </w:tcBorders>
            <w:vAlign w:val="center"/>
          </w:tcPr>
          <w:p w14:paraId="792765D6">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(±10mA/5V</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1A7EB9F6">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77E327A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37</w:t>
            </w:r>
          </w:p>
        </w:tc>
        <w:tc>
          <w:tcPr>
            <w:tcW w:w="1182" w:type="dxa"/>
            <w:tcBorders>
              <w:top w:val="nil"/>
              <w:left w:val="nil"/>
              <w:bottom w:val="single" w:color="auto" w:sz="4" w:space="0"/>
              <w:right w:val="single" w:color="auto" w:sz="4" w:space="0"/>
            </w:tcBorders>
            <w:noWrap/>
            <w:vAlign w:val="center"/>
          </w:tcPr>
          <w:p w14:paraId="5045044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036A850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7B696D7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532E5AC">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00C9132D">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w:t>
            </w:r>
          </w:p>
        </w:tc>
        <w:tc>
          <w:tcPr>
            <w:tcW w:w="1400" w:type="dxa"/>
            <w:tcBorders>
              <w:top w:val="nil"/>
              <w:left w:val="nil"/>
              <w:bottom w:val="single" w:color="auto" w:sz="4" w:space="0"/>
              <w:right w:val="single" w:color="auto" w:sz="4" w:space="0"/>
            </w:tcBorders>
            <w:noWrap/>
            <w:vAlign w:val="center"/>
          </w:tcPr>
          <w:p w14:paraId="3C93B07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合母馈出回路</w:t>
            </w:r>
          </w:p>
        </w:tc>
        <w:tc>
          <w:tcPr>
            <w:tcW w:w="2303" w:type="dxa"/>
            <w:tcBorders>
              <w:top w:val="nil"/>
              <w:left w:val="nil"/>
              <w:bottom w:val="single" w:color="auto" w:sz="4" w:space="0"/>
              <w:right w:val="single" w:color="auto" w:sz="4" w:space="0"/>
            </w:tcBorders>
            <w:noWrap/>
            <w:vAlign w:val="center"/>
          </w:tcPr>
          <w:p w14:paraId="5BE9616F">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iC65H C25/2P</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32782CE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noWrap/>
            <w:vAlign w:val="center"/>
          </w:tcPr>
          <w:p w14:paraId="07876B2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12</w:t>
            </w:r>
          </w:p>
        </w:tc>
        <w:tc>
          <w:tcPr>
            <w:tcW w:w="1182" w:type="dxa"/>
            <w:tcBorders>
              <w:top w:val="nil"/>
              <w:left w:val="nil"/>
              <w:bottom w:val="single" w:color="auto" w:sz="4" w:space="0"/>
              <w:right w:val="single" w:color="auto" w:sz="4" w:space="0"/>
            </w:tcBorders>
            <w:noWrap/>
            <w:vAlign w:val="center"/>
          </w:tcPr>
          <w:p w14:paraId="402254B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592BCE4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083A3159">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05E9419">
        <w:tblPrEx>
          <w:tblCellMar>
            <w:top w:w="0" w:type="dxa"/>
            <w:left w:w="108" w:type="dxa"/>
            <w:bottom w:w="0" w:type="dxa"/>
            <w:right w:w="108" w:type="dxa"/>
          </w:tblCellMar>
        </w:tblPrEx>
        <w:trPr>
          <w:cantSplit/>
          <w:trHeight w:val="280" w:hRule="atLeast"/>
        </w:trPr>
        <w:tc>
          <w:tcPr>
            <w:tcW w:w="709" w:type="dxa"/>
            <w:tcBorders>
              <w:top w:val="single" w:color="auto" w:sz="4" w:space="0"/>
              <w:left w:val="single" w:color="auto" w:sz="4" w:space="0"/>
              <w:bottom w:val="single" w:color="auto" w:sz="4" w:space="0"/>
              <w:right w:val="single" w:color="auto" w:sz="4" w:space="0"/>
            </w:tcBorders>
            <w:vAlign w:val="center"/>
          </w:tcPr>
          <w:p w14:paraId="0E469507">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(5)</w:t>
            </w:r>
          </w:p>
        </w:tc>
        <w:tc>
          <w:tcPr>
            <w:tcW w:w="1400" w:type="dxa"/>
            <w:tcBorders>
              <w:top w:val="single" w:color="auto" w:sz="4" w:space="0"/>
              <w:left w:val="nil"/>
              <w:bottom w:val="single" w:color="auto" w:sz="4" w:space="0"/>
              <w:right w:val="single" w:color="auto" w:sz="4" w:space="0"/>
            </w:tcBorders>
            <w:noWrap/>
            <w:vAlign w:val="center"/>
          </w:tcPr>
          <w:p w14:paraId="69A6E397">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控母馈出回路</w:t>
            </w:r>
          </w:p>
        </w:tc>
        <w:tc>
          <w:tcPr>
            <w:tcW w:w="2303" w:type="dxa"/>
            <w:tcBorders>
              <w:top w:val="single" w:color="auto" w:sz="4" w:space="0"/>
              <w:left w:val="nil"/>
              <w:bottom w:val="single" w:color="auto" w:sz="4" w:space="0"/>
              <w:right w:val="single" w:color="auto" w:sz="4" w:space="0"/>
            </w:tcBorders>
            <w:noWrap/>
            <w:vAlign w:val="center"/>
          </w:tcPr>
          <w:p w14:paraId="281C3BA2">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iC65H C16/2P</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single" w:color="auto" w:sz="4" w:space="0"/>
              <w:left w:val="nil"/>
              <w:bottom w:val="single" w:color="auto" w:sz="4" w:space="0"/>
              <w:right w:val="single" w:color="auto" w:sz="4" w:space="0"/>
            </w:tcBorders>
            <w:noWrap/>
            <w:vAlign w:val="center"/>
          </w:tcPr>
          <w:p w14:paraId="197CE89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single" w:color="auto" w:sz="4" w:space="0"/>
              <w:left w:val="nil"/>
              <w:bottom w:val="single" w:color="auto" w:sz="4" w:space="0"/>
              <w:right w:val="single" w:color="auto" w:sz="4" w:space="0"/>
            </w:tcBorders>
            <w:noWrap/>
            <w:vAlign w:val="center"/>
          </w:tcPr>
          <w:p w14:paraId="5028D1F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25</w:t>
            </w:r>
          </w:p>
        </w:tc>
        <w:tc>
          <w:tcPr>
            <w:tcW w:w="1182" w:type="dxa"/>
            <w:tcBorders>
              <w:top w:val="single" w:color="auto" w:sz="4" w:space="0"/>
              <w:left w:val="nil"/>
              <w:bottom w:val="single" w:color="auto" w:sz="4" w:space="0"/>
              <w:right w:val="single" w:color="auto" w:sz="4" w:space="0"/>
            </w:tcBorders>
            <w:noWrap/>
            <w:vAlign w:val="center"/>
          </w:tcPr>
          <w:p w14:paraId="08D8220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4D2FDFE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3198659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63DECBD">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vAlign w:val="center"/>
          </w:tcPr>
          <w:p w14:paraId="4D91BA8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(6)</w:t>
            </w:r>
          </w:p>
        </w:tc>
        <w:tc>
          <w:tcPr>
            <w:tcW w:w="1400" w:type="dxa"/>
            <w:tcBorders>
              <w:top w:val="nil"/>
              <w:left w:val="nil"/>
              <w:bottom w:val="single" w:color="auto" w:sz="4" w:space="0"/>
              <w:right w:val="single" w:color="auto" w:sz="4" w:space="0"/>
            </w:tcBorders>
            <w:noWrap/>
            <w:vAlign w:val="center"/>
          </w:tcPr>
          <w:p w14:paraId="77A38E1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48V</w:t>
            </w:r>
            <w:r>
              <w:rPr>
                <w:rFonts w:ascii="Times New Roman" w:hAnsi="宋体" w:eastAsia="宋体" w:cs="Times New Roman"/>
                <w:color w:val="000000" w:themeColor="text1"/>
                <w:kern w:val="0"/>
                <w:szCs w:val="21"/>
                <w:highlight w:val="none"/>
                <w14:textFill>
                  <w14:solidFill>
                    <w14:schemeClr w14:val="tx1"/>
                  </w14:solidFill>
                </w14:textFill>
              </w:rPr>
              <w:t>馈出回路</w:t>
            </w:r>
          </w:p>
        </w:tc>
        <w:tc>
          <w:tcPr>
            <w:tcW w:w="2303" w:type="dxa"/>
            <w:tcBorders>
              <w:top w:val="nil"/>
              <w:left w:val="nil"/>
              <w:bottom w:val="single" w:color="auto" w:sz="4" w:space="0"/>
              <w:right w:val="single" w:color="auto" w:sz="4" w:space="0"/>
            </w:tcBorders>
            <w:noWrap/>
            <w:vAlign w:val="center"/>
          </w:tcPr>
          <w:p w14:paraId="27D91EE8">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iC65H C16/2P</w:t>
            </w:r>
            <w:r>
              <w:rPr>
                <w:rFonts w:ascii="Times New Roman" w:hAnsi="宋体" w:eastAsia="宋体" w:cs="Times New Roman"/>
                <w:color w:val="000000" w:themeColor="text1"/>
                <w:kern w:val="0"/>
                <w:szCs w:val="21"/>
                <w:highlight w:val="none"/>
                <w14:textFill>
                  <w14:solidFill>
                    <w14:schemeClr w14:val="tx1"/>
                  </w14:solidFill>
                </w14:textFill>
              </w:rPr>
              <w:t>。</w:t>
            </w:r>
          </w:p>
        </w:tc>
        <w:tc>
          <w:tcPr>
            <w:tcW w:w="833" w:type="dxa"/>
            <w:tcBorders>
              <w:top w:val="nil"/>
              <w:left w:val="nil"/>
              <w:bottom w:val="single" w:color="auto" w:sz="4" w:space="0"/>
              <w:right w:val="single" w:color="auto" w:sz="4" w:space="0"/>
            </w:tcBorders>
            <w:noWrap/>
            <w:vAlign w:val="center"/>
          </w:tcPr>
          <w:p w14:paraId="6CC77000">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个</w:t>
            </w:r>
          </w:p>
        </w:tc>
        <w:tc>
          <w:tcPr>
            <w:tcW w:w="992" w:type="dxa"/>
            <w:tcBorders>
              <w:top w:val="nil"/>
              <w:left w:val="nil"/>
              <w:bottom w:val="single" w:color="auto" w:sz="4" w:space="0"/>
              <w:right w:val="single" w:color="auto" w:sz="4" w:space="0"/>
            </w:tcBorders>
            <w:noWrap/>
            <w:vAlign w:val="center"/>
          </w:tcPr>
          <w:p w14:paraId="1332CF31">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12</w:t>
            </w:r>
          </w:p>
        </w:tc>
        <w:tc>
          <w:tcPr>
            <w:tcW w:w="1182" w:type="dxa"/>
            <w:tcBorders>
              <w:top w:val="nil"/>
              <w:left w:val="nil"/>
              <w:bottom w:val="single" w:color="auto" w:sz="4" w:space="0"/>
              <w:right w:val="single" w:color="auto" w:sz="4" w:space="0"/>
            </w:tcBorders>
            <w:noWrap/>
            <w:vAlign w:val="center"/>
          </w:tcPr>
          <w:p w14:paraId="3C9BC56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45922CEB">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vAlign w:val="center"/>
          </w:tcPr>
          <w:p w14:paraId="7649C1E8">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92D7196">
        <w:tblPrEx>
          <w:tblCellMar>
            <w:top w:w="0" w:type="dxa"/>
            <w:left w:w="108" w:type="dxa"/>
            <w:bottom w:w="0" w:type="dxa"/>
            <w:right w:w="108" w:type="dxa"/>
          </w:tblCellMar>
        </w:tblPrEx>
        <w:trPr>
          <w:cantSplit/>
          <w:trHeight w:val="780" w:hRule="atLeast"/>
        </w:trPr>
        <w:tc>
          <w:tcPr>
            <w:tcW w:w="709" w:type="dxa"/>
            <w:tcBorders>
              <w:top w:val="single" w:color="auto" w:sz="4" w:space="0"/>
              <w:left w:val="single" w:color="auto" w:sz="4" w:space="0"/>
              <w:bottom w:val="single" w:color="auto" w:sz="4" w:space="0"/>
              <w:right w:val="single" w:color="auto" w:sz="4" w:space="0"/>
            </w:tcBorders>
            <w:vAlign w:val="center"/>
          </w:tcPr>
          <w:p w14:paraId="1BD543C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(7)</w:t>
            </w:r>
          </w:p>
        </w:tc>
        <w:tc>
          <w:tcPr>
            <w:tcW w:w="1400" w:type="dxa"/>
            <w:tcBorders>
              <w:top w:val="single" w:color="auto" w:sz="4" w:space="0"/>
              <w:left w:val="nil"/>
              <w:bottom w:val="single" w:color="auto" w:sz="4" w:space="0"/>
              <w:right w:val="single" w:color="auto" w:sz="4" w:space="0"/>
            </w:tcBorders>
            <w:noWrap/>
            <w:vAlign w:val="center"/>
          </w:tcPr>
          <w:p w14:paraId="2771855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线缆辅材及结构件</w:t>
            </w:r>
          </w:p>
        </w:tc>
        <w:tc>
          <w:tcPr>
            <w:tcW w:w="2303" w:type="dxa"/>
            <w:tcBorders>
              <w:top w:val="single" w:color="auto" w:sz="4" w:space="0"/>
              <w:left w:val="nil"/>
              <w:bottom w:val="single" w:color="auto" w:sz="4" w:space="0"/>
              <w:right w:val="single" w:color="auto" w:sz="4" w:space="0"/>
            </w:tcBorders>
            <w:vAlign w:val="center"/>
          </w:tcPr>
          <w:p w14:paraId="4677D5D2">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线缆、铜排、大电流端子、保险丝、接线端子、信号指示灯、分流器、霍尔传感器，另外为后期保护扩容预留</w:t>
            </w:r>
            <w:r>
              <w:rPr>
                <w:rFonts w:ascii="Times New Roman" w:hAnsi="Times New Roman" w:eastAsia="宋体" w:cs="Times New Roman"/>
                <w:color w:val="000000" w:themeColor="text1"/>
                <w:kern w:val="0"/>
                <w:szCs w:val="21"/>
                <w:highlight w:val="none"/>
                <w14:textFill>
                  <w14:solidFill>
                    <w14:schemeClr w14:val="tx1"/>
                  </w14:solidFill>
                </w14:textFill>
              </w:rPr>
              <w:t>25</w:t>
            </w:r>
            <w:r>
              <w:rPr>
                <w:rFonts w:ascii="Times New Roman" w:hAnsi="宋体" w:eastAsia="宋体" w:cs="Times New Roman"/>
                <w:color w:val="000000" w:themeColor="text1"/>
                <w:kern w:val="0"/>
                <w:szCs w:val="21"/>
                <w:highlight w:val="none"/>
                <w14:textFill>
                  <w14:solidFill>
                    <w14:schemeClr w14:val="tx1"/>
                  </w14:solidFill>
                </w14:textFill>
              </w:rPr>
              <w:t>个直流馈线回路。</w:t>
            </w:r>
          </w:p>
        </w:tc>
        <w:tc>
          <w:tcPr>
            <w:tcW w:w="833" w:type="dxa"/>
            <w:tcBorders>
              <w:top w:val="single" w:color="auto" w:sz="4" w:space="0"/>
              <w:left w:val="nil"/>
              <w:bottom w:val="single" w:color="auto" w:sz="4" w:space="0"/>
              <w:right w:val="single" w:color="auto" w:sz="4" w:space="0"/>
            </w:tcBorders>
            <w:noWrap/>
            <w:vAlign w:val="center"/>
          </w:tcPr>
          <w:p w14:paraId="7111298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项</w:t>
            </w:r>
          </w:p>
        </w:tc>
        <w:tc>
          <w:tcPr>
            <w:tcW w:w="992" w:type="dxa"/>
            <w:tcBorders>
              <w:top w:val="single" w:color="auto" w:sz="4" w:space="0"/>
              <w:left w:val="nil"/>
              <w:bottom w:val="single" w:color="auto" w:sz="4" w:space="0"/>
              <w:right w:val="single" w:color="auto" w:sz="4" w:space="0"/>
            </w:tcBorders>
            <w:noWrap/>
            <w:vAlign w:val="center"/>
          </w:tcPr>
          <w:p w14:paraId="2D30376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single" w:color="auto" w:sz="4" w:space="0"/>
              <w:left w:val="nil"/>
              <w:bottom w:val="single" w:color="auto" w:sz="4" w:space="0"/>
              <w:right w:val="single" w:color="auto" w:sz="4" w:space="0"/>
            </w:tcBorders>
            <w:noWrap/>
            <w:vAlign w:val="center"/>
          </w:tcPr>
          <w:p w14:paraId="08589193">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single" w:color="auto" w:sz="4" w:space="0"/>
              <w:left w:val="nil"/>
              <w:bottom w:val="single" w:color="auto" w:sz="4" w:space="0"/>
              <w:right w:val="single" w:color="auto" w:sz="4" w:space="0"/>
            </w:tcBorders>
            <w:noWrap/>
            <w:vAlign w:val="center"/>
          </w:tcPr>
          <w:p w14:paraId="638A6B2F">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single" w:color="auto" w:sz="4" w:space="0"/>
              <w:left w:val="nil"/>
              <w:bottom w:val="single" w:color="auto" w:sz="4" w:space="0"/>
              <w:right w:val="single" w:color="auto" w:sz="4" w:space="0"/>
            </w:tcBorders>
            <w:vAlign w:val="center"/>
          </w:tcPr>
          <w:p w14:paraId="0904CCC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0FC36B5E">
        <w:tblPrEx>
          <w:tblCellMar>
            <w:top w:w="0" w:type="dxa"/>
            <w:left w:w="108" w:type="dxa"/>
            <w:bottom w:w="0" w:type="dxa"/>
            <w:right w:w="108" w:type="dxa"/>
          </w:tblCellMar>
        </w:tblPrEx>
        <w:trPr>
          <w:cantSplit/>
          <w:trHeight w:val="411" w:hRule="atLeast"/>
        </w:trPr>
        <w:tc>
          <w:tcPr>
            <w:tcW w:w="709" w:type="dxa"/>
            <w:tcBorders>
              <w:top w:val="nil"/>
              <w:left w:val="single" w:color="auto" w:sz="4" w:space="0"/>
              <w:bottom w:val="single" w:color="auto" w:sz="4" w:space="0"/>
              <w:right w:val="single" w:color="auto" w:sz="4" w:space="0"/>
            </w:tcBorders>
            <w:noWrap/>
            <w:vAlign w:val="center"/>
          </w:tcPr>
          <w:p w14:paraId="4A943B67">
            <w:pPr>
              <w:widowControl/>
              <w:jc w:val="center"/>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Times New Roman" w:eastAsia="宋体" w:cs="Times New Roman"/>
                <w:b/>
                <w:bCs/>
                <w:color w:val="000000" w:themeColor="text1"/>
                <w:kern w:val="0"/>
                <w:szCs w:val="21"/>
                <w:highlight w:val="none"/>
                <w14:textFill>
                  <w14:solidFill>
                    <w14:schemeClr w14:val="tx1"/>
                  </w14:solidFill>
                </w14:textFill>
              </w:rPr>
              <w:t>3</w:t>
            </w:r>
          </w:p>
        </w:tc>
        <w:tc>
          <w:tcPr>
            <w:tcW w:w="1400" w:type="dxa"/>
            <w:tcBorders>
              <w:top w:val="nil"/>
              <w:left w:val="nil"/>
              <w:bottom w:val="single" w:color="auto" w:sz="4" w:space="0"/>
              <w:right w:val="single" w:color="auto" w:sz="4" w:space="0"/>
            </w:tcBorders>
            <w:noWrap/>
            <w:vAlign w:val="center"/>
          </w:tcPr>
          <w:p w14:paraId="04A84E24">
            <w:pPr>
              <w:widowControl/>
              <w:jc w:val="left"/>
              <w:rPr>
                <w:rFonts w:ascii="Times New Roman" w:hAnsi="Times New Roman" w:eastAsia="宋体" w:cs="Times New Roman"/>
                <w:b/>
                <w:bCs/>
                <w:color w:val="000000" w:themeColor="text1"/>
                <w:kern w:val="0"/>
                <w:szCs w:val="21"/>
                <w:highlight w:val="none"/>
                <w14:textFill>
                  <w14:solidFill>
                    <w14:schemeClr w14:val="tx1"/>
                  </w14:solidFill>
                </w14:textFill>
              </w:rPr>
            </w:pPr>
            <w:r>
              <w:rPr>
                <w:rFonts w:ascii="Times New Roman" w:hAnsi="宋体" w:eastAsia="宋体" w:cs="Times New Roman"/>
                <w:b/>
                <w:bCs/>
                <w:color w:val="000000" w:themeColor="text1"/>
                <w:kern w:val="0"/>
                <w:szCs w:val="21"/>
                <w:highlight w:val="none"/>
                <w14:textFill>
                  <w14:solidFill>
                    <w14:schemeClr w14:val="tx1"/>
                  </w14:solidFill>
                </w14:textFill>
              </w:rPr>
              <w:t>电池屏</w:t>
            </w:r>
          </w:p>
        </w:tc>
        <w:tc>
          <w:tcPr>
            <w:tcW w:w="2303" w:type="dxa"/>
            <w:tcBorders>
              <w:top w:val="nil"/>
              <w:left w:val="nil"/>
              <w:bottom w:val="nil"/>
              <w:right w:val="nil"/>
            </w:tcBorders>
            <w:noWrap/>
            <w:vAlign w:val="bottom"/>
          </w:tcPr>
          <w:p w14:paraId="12C9FDF5">
            <w:pPr>
              <w:widowControl/>
              <w:wordWrap w:val="0"/>
              <w:jc w:val="left"/>
              <w:rPr>
                <w:rFonts w:ascii="Times New Roman" w:hAnsi="Times New Roman" w:eastAsia="宋体" w:cs="Times New Roman"/>
                <w:b/>
                <w:bCs/>
                <w:color w:val="000000" w:themeColor="text1"/>
                <w:kern w:val="0"/>
                <w:szCs w:val="21"/>
                <w:highlight w:val="none"/>
                <w14:textFill>
                  <w14:solidFill>
                    <w14:schemeClr w14:val="tx1"/>
                  </w14:solidFill>
                </w14:textFill>
              </w:rPr>
            </w:pPr>
          </w:p>
        </w:tc>
        <w:tc>
          <w:tcPr>
            <w:tcW w:w="833" w:type="dxa"/>
            <w:tcBorders>
              <w:top w:val="nil"/>
              <w:left w:val="single" w:color="auto" w:sz="4" w:space="0"/>
              <w:bottom w:val="single" w:color="auto" w:sz="4" w:space="0"/>
              <w:right w:val="single" w:color="auto" w:sz="4" w:space="0"/>
            </w:tcBorders>
            <w:noWrap/>
            <w:vAlign w:val="bottom"/>
          </w:tcPr>
          <w:p w14:paraId="567BB88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p>
        </w:tc>
        <w:tc>
          <w:tcPr>
            <w:tcW w:w="992" w:type="dxa"/>
            <w:tcBorders>
              <w:top w:val="nil"/>
              <w:left w:val="nil"/>
              <w:bottom w:val="single" w:color="auto" w:sz="4" w:space="0"/>
              <w:right w:val="single" w:color="auto" w:sz="4" w:space="0"/>
            </w:tcBorders>
            <w:noWrap/>
            <w:vAlign w:val="bottom"/>
          </w:tcPr>
          <w:p w14:paraId="4445578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p>
        </w:tc>
        <w:tc>
          <w:tcPr>
            <w:tcW w:w="1182" w:type="dxa"/>
            <w:tcBorders>
              <w:top w:val="nil"/>
              <w:left w:val="nil"/>
              <w:bottom w:val="single" w:color="auto" w:sz="4" w:space="0"/>
              <w:right w:val="single" w:color="auto" w:sz="4" w:space="0"/>
            </w:tcBorders>
            <w:noWrap/>
            <w:vAlign w:val="bottom"/>
          </w:tcPr>
          <w:p w14:paraId="3C391892">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bottom"/>
          </w:tcPr>
          <w:p w14:paraId="20A10775">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3D29C0EB">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65D5A7E3">
        <w:tblPrEx>
          <w:tblCellMar>
            <w:top w:w="0" w:type="dxa"/>
            <w:left w:w="108" w:type="dxa"/>
            <w:bottom w:w="0" w:type="dxa"/>
            <w:right w:w="108" w:type="dxa"/>
          </w:tblCellMar>
        </w:tblPrEx>
        <w:trPr>
          <w:cantSplit/>
          <w:trHeight w:val="280" w:hRule="atLeast"/>
        </w:trPr>
        <w:tc>
          <w:tcPr>
            <w:tcW w:w="709" w:type="dxa"/>
            <w:tcBorders>
              <w:top w:val="nil"/>
              <w:left w:val="single" w:color="auto" w:sz="4" w:space="0"/>
              <w:bottom w:val="single" w:color="auto" w:sz="4" w:space="0"/>
              <w:right w:val="single" w:color="auto" w:sz="4" w:space="0"/>
            </w:tcBorders>
            <w:noWrap/>
            <w:vAlign w:val="center"/>
          </w:tcPr>
          <w:p w14:paraId="65A9F8DC">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400" w:type="dxa"/>
            <w:tcBorders>
              <w:top w:val="nil"/>
              <w:left w:val="nil"/>
              <w:bottom w:val="single" w:color="auto" w:sz="4" w:space="0"/>
              <w:right w:val="single" w:color="auto" w:sz="4" w:space="0"/>
            </w:tcBorders>
            <w:noWrap/>
            <w:vAlign w:val="center"/>
          </w:tcPr>
          <w:p w14:paraId="258A5EFE">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系统柜体</w:t>
            </w:r>
          </w:p>
        </w:tc>
        <w:tc>
          <w:tcPr>
            <w:tcW w:w="2303" w:type="dxa"/>
            <w:tcBorders>
              <w:top w:val="single" w:color="auto" w:sz="4" w:space="0"/>
              <w:left w:val="nil"/>
              <w:bottom w:val="single" w:color="auto" w:sz="4" w:space="0"/>
              <w:right w:val="single" w:color="auto" w:sz="4" w:space="0"/>
            </w:tcBorders>
            <w:vAlign w:val="center"/>
          </w:tcPr>
          <w:p w14:paraId="0AD1B6CC">
            <w:pPr>
              <w:widowControl/>
              <w:wordWrap w:val="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2260*800*600mm</w:t>
            </w:r>
            <w:r>
              <w:rPr>
                <w:rFonts w:ascii="Times New Roman" w:hAnsi="宋体" w:eastAsia="宋体" w:cs="Times New Roman"/>
                <w:color w:val="000000" w:themeColor="text1"/>
                <w:kern w:val="0"/>
                <w:szCs w:val="21"/>
                <w:highlight w:val="none"/>
                <w14:textFill>
                  <w14:solidFill>
                    <w14:schemeClr w14:val="tx1"/>
                  </w14:solidFill>
                </w14:textFill>
              </w:rPr>
              <w:t>（含线缆辅材）。</w:t>
            </w:r>
          </w:p>
        </w:tc>
        <w:tc>
          <w:tcPr>
            <w:tcW w:w="833" w:type="dxa"/>
            <w:tcBorders>
              <w:top w:val="nil"/>
              <w:left w:val="nil"/>
              <w:bottom w:val="single" w:color="auto" w:sz="4" w:space="0"/>
              <w:right w:val="single" w:color="auto" w:sz="4" w:space="0"/>
            </w:tcBorders>
            <w:noWrap/>
            <w:vAlign w:val="center"/>
          </w:tcPr>
          <w:p w14:paraId="33356482">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套</w:t>
            </w:r>
          </w:p>
        </w:tc>
        <w:tc>
          <w:tcPr>
            <w:tcW w:w="992" w:type="dxa"/>
            <w:tcBorders>
              <w:top w:val="nil"/>
              <w:left w:val="nil"/>
              <w:bottom w:val="single" w:color="auto" w:sz="4" w:space="0"/>
              <w:right w:val="single" w:color="auto" w:sz="4" w:space="0"/>
            </w:tcBorders>
            <w:noWrap/>
            <w:vAlign w:val="center"/>
          </w:tcPr>
          <w:p w14:paraId="0296E524">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Times New Roman" w:eastAsia="宋体" w:cs="Times New Roman"/>
                <w:color w:val="000000" w:themeColor="text1"/>
                <w:kern w:val="0"/>
                <w:szCs w:val="21"/>
                <w:highlight w:val="none"/>
                <w14:textFill>
                  <w14:solidFill>
                    <w14:schemeClr w14:val="tx1"/>
                  </w14:solidFill>
                </w14:textFill>
              </w:rPr>
              <w:t>1</w:t>
            </w:r>
          </w:p>
        </w:tc>
        <w:tc>
          <w:tcPr>
            <w:tcW w:w="1182" w:type="dxa"/>
            <w:tcBorders>
              <w:top w:val="nil"/>
              <w:left w:val="nil"/>
              <w:bottom w:val="single" w:color="auto" w:sz="4" w:space="0"/>
              <w:right w:val="single" w:color="auto" w:sz="4" w:space="0"/>
            </w:tcBorders>
            <w:noWrap/>
            <w:vAlign w:val="center"/>
          </w:tcPr>
          <w:p w14:paraId="3F8A0945">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center"/>
          </w:tcPr>
          <w:p w14:paraId="46262B5A">
            <w:pPr>
              <w:widowControl/>
              <w:jc w:val="center"/>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2E67C54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r w14:paraId="3E6C95C2">
        <w:tblPrEx>
          <w:tblCellMar>
            <w:top w:w="0" w:type="dxa"/>
            <w:left w:w="108" w:type="dxa"/>
            <w:bottom w:w="0" w:type="dxa"/>
            <w:right w:w="108" w:type="dxa"/>
          </w:tblCellMar>
        </w:tblPrEx>
        <w:trPr>
          <w:cantSplit/>
          <w:trHeight w:val="453" w:hRule="atLeast"/>
        </w:trPr>
        <w:tc>
          <w:tcPr>
            <w:tcW w:w="709" w:type="dxa"/>
            <w:tcBorders>
              <w:top w:val="nil"/>
              <w:left w:val="single" w:color="auto" w:sz="4" w:space="0"/>
              <w:bottom w:val="single" w:color="auto" w:sz="4" w:space="0"/>
              <w:right w:val="single" w:color="auto" w:sz="4" w:space="0"/>
            </w:tcBorders>
            <w:noWrap/>
            <w:vAlign w:val="bottom"/>
          </w:tcPr>
          <w:p w14:paraId="1C090514">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400" w:type="dxa"/>
            <w:tcBorders>
              <w:top w:val="nil"/>
              <w:left w:val="nil"/>
              <w:bottom w:val="single" w:color="auto" w:sz="4" w:space="0"/>
              <w:right w:val="single" w:color="auto" w:sz="4" w:space="0"/>
            </w:tcBorders>
            <w:vAlign w:val="center"/>
          </w:tcPr>
          <w:p w14:paraId="73432135">
            <w:pPr>
              <w:widowControl/>
              <w:jc w:val="center"/>
              <w:rPr>
                <w:rFonts w:ascii="Times New Roman" w:hAnsi="Times New Roman" w:eastAsia="宋体" w:cs="Times New Roman"/>
                <w:b/>
                <w:color w:val="000000" w:themeColor="text1"/>
                <w:kern w:val="0"/>
                <w:szCs w:val="21"/>
                <w:highlight w:val="none"/>
                <w14:textFill>
                  <w14:solidFill>
                    <w14:schemeClr w14:val="tx1"/>
                  </w14:solidFill>
                </w14:textFill>
              </w:rPr>
            </w:pPr>
            <w:r>
              <w:rPr>
                <w:rFonts w:ascii="Times New Roman" w:hAnsi="宋体" w:eastAsia="宋体" w:cs="Times New Roman"/>
                <w:b/>
                <w:color w:val="000000" w:themeColor="text1"/>
                <w:kern w:val="0"/>
                <w:szCs w:val="21"/>
                <w:highlight w:val="none"/>
                <w14:textFill>
                  <w14:solidFill>
                    <w14:schemeClr w14:val="tx1"/>
                  </w14:solidFill>
                </w14:textFill>
              </w:rPr>
              <w:t>小计</w:t>
            </w:r>
          </w:p>
        </w:tc>
        <w:tc>
          <w:tcPr>
            <w:tcW w:w="2303" w:type="dxa"/>
            <w:tcBorders>
              <w:top w:val="nil"/>
              <w:left w:val="nil"/>
              <w:bottom w:val="single" w:color="auto" w:sz="4" w:space="0"/>
              <w:right w:val="single" w:color="auto" w:sz="4" w:space="0"/>
            </w:tcBorders>
            <w:noWrap/>
            <w:vAlign w:val="bottom"/>
          </w:tcPr>
          <w:p w14:paraId="3FD268B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833" w:type="dxa"/>
            <w:tcBorders>
              <w:top w:val="nil"/>
              <w:left w:val="nil"/>
              <w:bottom w:val="single" w:color="auto" w:sz="4" w:space="0"/>
              <w:right w:val="single" w:color="auto" w:sz="4" w:space="0"/>
            </w:tcBorders>
            <w:noWrap/>
            <w:vAlign w:val="bottom"/>
          </w:tcPr>
          <w:p w14:paraId="5736570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92" w:type="dxa"/>
            <w:tcBorders>
              <w:top w:val="nil"/>
              <w:left w:val="nil"/>
              <w:bottom w:val="single" w:color="auto" w:sz="4" w:space="0"/>
              <w:right w:val="single" w:color="auto" w:sz="4" w:space="0"/>
            </w:tcBorders>
            <w:noWrap/>
            <w:vAlign w:val="bottom"/>
          </w:tcPr>
          <w:p w14:paraId="7C39A3DA">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1182" w:type="dxa"/>
            <w:tcBorders>
              <w:top w:val="nil"/>
              <w:left w:val="nil"/>
              <w:bottom w:val="single" w:color="auto" w:sz="4" w:space="0"/>
              <w:right w:val="single" w:color="auto" w:sz="4" w:space="0"/>
            </w:tcBorders>
            <w:noWrap/>
            <w:vAlign w:val="bottom"/>
          </w:tcPr>
          <w:p w14:paraId="2D90F239">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945" w:type="dxa"/>
            <w:tcBorders>
              <w:top w:val="nil"/>
              <w:left w:val="nil"/>
              <w:bottom w:val="single" w:color="auto" w:sz="4" w:space="0"/>
              <w:right w:val="single" w:color="auto" w:sz="4" w:space="0"/>
            </w:tcBorders>
            <w:noWrap/>
            <w:vAlign w:val="bottom"/>
          </w:tcPr>
          <w:p w14:paraId="7727A003">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c>
          <w:tcPr>
            <w:tcW w:w="758" w:type="dxa"/>
            <w:tcBorders>
              <w:top w:val="nil"/>
              <w:left w:val="nil"/>
              <w:bottom w:val="single" w:color="auto" w:sz="4" w:space="0"/>
              <w:right w:val="single" w:color="auto" w:sz="4" w:space="0"/>
            </w:tcBorders>
            <w:noWrap/>
            <w:vAlign w:val="bottom"/>
          </w:tcPr>
          <w:p w14:paraId="1C7CBDCD">
            <w:pPr>
              <w:widowControl/>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ascii="Times New Roman" w:hAnsi="宋体" w:eastAsia="宋体" w:cs="Times New Roman"/>
                <w:color w:val="000000" w:themeColor="text1"/>
                <w:kern w:val="0"/>
                <w:szCs w:val="21"/>
                <w:highlight w:val="none"/>
                <w14:textFill>
                  <w14:solidFill>
                    <w14:schemeClr w14:val="tx1"/>
                  </w14:solidFill>
                </w14:textFill>
              </w:rPr>
              <w:t>　</w:t>
            </w:r>
          </w:p>
        </w:tc>
      </w:tr>
    </w:tbl>
    <w:p w14:paraId="135BED28">
      <w:pPr>
        <w:rPr>
          <w:rFonts w:ascii="Calibri" w:hAnsi="Calibri" w:eastAsia="宋体" w:cs="Times New Roman"/>
          <w:color w:val="000000" w:themeColor="text1"/>
          <w:kern w:val="2"/>
          <w:szCs w:val="24"/>
          <w:highlight w:val="none"/>
          <w14:textFill>
            <w14:solidFill>
              <w14:schemeClr w14:val="tx1"/>
            </w14:solidFill>
          </w14:textFill>
        </w:rPr>
      </w:pPr>
    </w:p>
    <w:p w14:paraId="782FA881">
      <w:pPr>
        <w:widowControl/>
        <w:jc w:val="left"/>
        <w:textAlignment w:val="center"/>
        <w:rPr>
          <w:rFonts w:ascii="宋体" w:hAnsi="宋体" w:eastAsia="宋体" w:cs="宋体"/>
          <w:color w:val="000000" w:themeColor="text1"/>
          <w:sz w:val="20"/>
          <w:szCs w:val="20"/>
          <w:highlight w:val="none"/>
          <w14:textFill>
            <w14:solidFill>
              <w14:schemeClr w14:val="tx1"/>
            </w14:solidFill>
          </w14:textFill>
        </w:rPr>
      </w:pPr>
    </w:p>
    <w:p w14:paraId="3E4A7AAB">
      <w:pPr>
        <w:widowControl/>
        <w:jc w:val="left"/>
        <w:textAlignment w:val="center"/>
        <w:rPr>
          <w:rFonts w:ascii="宋体" w:hAnsi="宋体" w:eastAsia="宋体" w:cs="宋体"/>
          <w:color w:val="000000" w:themeColor="text1"/>
          <w:sz w:val="20"/>
          <w:szCs w:val="20"/>
          <w:highlight w:val="none"/>
          <w14:textFill>
            <w14:solidFill>
              <w14:schemeClr w14:val="tx1"/>
            </w14:solidFill>
          </w14:textFill>
        </w:rPr>
      </w:pPr>
    </w:p>
    <w:p w14:paraId="5C9BA63A">
      <w:pPr>
        <w:widowControl/>
        <w:jc w:val="left"/>
        <w:textAlignment w:val="center"/>
        <w:rPr>
          <w:rFonts w:ascii="宋体" w:hAnsi="宋体" w:eastAsia="宋体" w:cs="宋体"/>
          <w:color w:val="000000" w:themeColor="text1"/>
          <w:sz w:val="20"/>
          <w:szCs w:val="20"/>
          <w:highlight w:val="none"/>
          <w14:textFill>
            <w14:solidFill>
              <w14:schemeClr w14:val="tx1"/>
            </w14:solidFill>
          </w14:textFill>
        </w:rPr>
      </w:pPr>
    </w:p>
    <w:p w14:paraId="46FE1986">
      <w:pPr>
        <w:rPr>
          <w:rFonts w:ascii="宋体" w:hAnsi="宋体" w:eastAsia="Arial" w:cs="宋体"/>
          <w:b/>
          <w:color w:val="000000" w:themeColor="text1"/>
          <w:sz w:val="24"/>
          <w:szCs w:val="24"/>
          <w:highlight w:val="none"/>
          <w14:textFill>
            <w14:solidFill>
              <w14:schemeClr w14:val="tx1"/>
            </w14:solidFill>
          </w14:textFill>
        </w:rPr>
      </w:pPr>
    </w:p>
    <w:p w14:paraId="73074B10">
      <w:pPr>
        <w:widowControl/>
        <w:spacing w:line="360" w:lineRule="auto"/>
        <w:ind w:firstLine="480"/>
        <w:rPr>
          <w:rFonts w:ascii="宋体" w:hAnsi="Calibri" w:eastAsia="宋体" w:cs="Times New Roman"/>
          <w:color w:val="000000" w:themeColor="text1"/>
          <w:sz w:val="24"/>
          <w:highlight w:val="none"/>
          <w:lang w:val="zh-CN"/>
          <w14:textFill>
            <w14:solidFill>
              <w14:schemeClr w14:val="tx1"/>
            </w14:solidFill>
          </w14:textFill>
        </w:rPr>
      </w:pPr>
    </w:p>
    <w:p w14:paraId="4753958E">
      <w:pPr>
        <w:rPr>
          <w:rFonts w:ascii="Times New Roman" w:hAnsi="Times New Roman" w:eastAsia="宋体" w:cs="Times New Roman"/>
          <w:color w:val="000000" w:themeColor="text1"/>
          <w:highlight w:val="none"/>
          <w:lang w:val="zh-CN"/>
          <w14:textFill>
            <w14:solidFill>
              <w14:schemeClr w14:val="tx1"/>
            </w14:solidFill>
          </w14:textFill>
        </w:rPr>
      </w:pPr>
    </w:p>
    <w:p w14:paraId="7D75618C">
      <w:pPr>
        <w:rPr>
          <w:rFonts w:ascii="Times New Roman" w:hAnsi="Times New Roman" w:eastAsia="宋体" w:cs="Times New Roman"/>
          <w:color w:val="000000" w:themeColor="text1"/>
          <w:highlight w:val="none"/>
          <w:lang w:val="zh-CN"/>
          <w14:textFill>
            <w14:solidFill>
              <w14:schemeClr w14:val="tx1"/>
            </w14:solidFill>
          </w14:textFill>
        </w:rPr>
      </w:pPr>
      <w:r>
        <w:rPr>
          <w:rFonts w:ascii="Times New Roman" w:hAnsi="Times New Roman" w:eastAsia="宋体" w:cs="Times New Roman"/>
          <w:color w:val="000000" w:themeColor="text1"/>
          <w:highlight w:val="none"/>
          <w:lang w:val="zh-CN"/>
          <w14:textFill>
            <w14:solidFill>
              <w14:schemeClr w14:val="tx1"/>
            </w14:solidFill>
          </w14:textFill>
        </w:rPr>
        <w:br w:type="page"/>
      </w:r>
    </w:p>
    <w:p w14:paraId="3CA9E8EC">
      <w:pPr>
        <w:spacing w:line="480" w:lineRule="exact"/>
        <w:jc w:val="center"/>
        <w:rPr>
          <w:rFonts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t>7、施工组织设计（技术标）</w:t>
      </w:r>
    </w:p>
    <w:p w14:paraId="33873104">
      <w:pPr>
        <w:spacing w:line="480" w:lineRule="exact"/>
        <w:rPr>
          <w:rFonts w:ascii="宋体" w:hAnsi="宋体" w:eastAsia="宋体" w:cs="宋体"/>
          <w:color w:val="000000" w:themeColor="text1"/>
          <w:sz w:val="24"/>
          <w:szCs w:val="28"/>
          <w:highlight w:val="none"/>
          <w14:textFill>
            <w14:solidFill>
              <w14:schemeClr w14:val="tx1"/>
            </w14:solidFill>
          </w14:textFill>
        </w:rPr>
      </w:pPr>
    </w:p>
    <w:p w14:paraId="71A9D4FE">
      <w:pPr>
        <w:spacing w:line="360" w:lineRule="auto"/>
        <w:ind w:firstLine="361"/>
        <w:rPr>
          <w:rFonts w:ascii="宋体" w:hAnsi="宋体" w:eastAsia="宋体" w:cs="宋体"/>
          <w:b/>
          <w:color w:val="000000" w:themeColor="text1"/>
          <w:sz w:val="24"/>
          <w:szCs w:val="28"/>
          <w:highlight w:val="none"/>
          <w14:textFill>
            <w14:solidFill>
              <w14:schemeClr w14:val="tx1"/>
            </w14:solidFill>
          </w14:textFill>
        </w:rPr>
      </w:pPr>
      <w:r>
        <w:rPr>
          <w:rFonts w:hint="eastAsia" w:ascii="宋体" w:hAnsi="宋体" w:eastAsia="宋体" w:cs="宋体"/>
          <w:b/>
          <w:color w:val="000000" w:themeColor="text1"/>
          <w:sz w:val="24"/>
          <w:szCs w:val="28"/>
          <w:highlight w:val="none"/>
          <w14:textFill>
            <w14:solidFill>
              <w14:schemeClr w14:val="tx1"/>
            </w14:solidFill>
          </w14:textFill>
        </w:rPr>
        <w:t>一、投标人编制施工组织设计要求，详见磋商文件评标办法</w:t>
      </w:r>
    </w:p>
    <w:p w14:paraId="615186F9">
      <w:pPr>
        <w:widowControl/>
        <w:shd w:val="clear" w:color="auto" w:fill="FFFFFF"/>
        <w:spacing w:line="360" w:lineRule="auto"/>
        <w:ind w:firstLine="422"/>
        <w:rPr>
          <w:rFonts w:ascii="宋体" w:hAnsi="宋体" w:eastAsia="宋体" w:cs="Times New Roman"/>
          <w:b/>
          <w:color w:val="000000" w:themeColor="text1"/>
          <w:szCs w:val="21"/>
          <w:highlight w:val="none"/>
          <w14:textFill>
            <w14:solidFill>
              <w14:schemeClr w14:val="tx1"/>
            </w14:solidFill>
          </w14:textFill>
        </w:rPr>
      </w:pPr>
    </w:p>
    <w:p w14:paraId="7920F1F4">
      <w:pPr>
        <w:spacing w:line="480" w:lineRule="exact"/>
        <w:rPr>
          <w:rFonts w:ascii="宋体" w:hAnsi="宋体" w:eastAsia="宋体" w:cs="宋体"/>
          <w:b/>
          <w:color w:val="000000" w:themeColor="text1"/>
          <w:sz w:val="24"/>
          <w:szCs w:val="28"/>
          <w:highlight w:val="none"/>
          <w14:textFill>
            <w14:solidFill>
              <w14:schemeClr w14:val="tx1"/>
            </w14:solidFill>
          </w14:textFill>
        </w:rPr>
      </w:pPr>
    </w:p>
    <w:p w14:paraId="2B6C3C33">
      <w:pPr>
        <w:spacing w:line="480" w:lineRule="exact"/>
        <w:ind w:firstLine="480"/>
        <w:rPr>
          <w:rFonts w:ascii="宋体" w:hAnsi="宋体" w:eastAsia="宋体" w:cs="宋体"/>
          <w:color w:val="000000" w:themeColor="text1"/>
          <w:sz w:val="24"/>
          <w:szCs w:val="28"/>
          <w:highlight w:val="none"/>
          <w14:textFill>
            <w14:solidFill>
              <w14:schemeClr w14:val="tx1"/>
            </w14:solidFill>
          </w14:textFill>
        </w:rPr>
      </w:pPr>
    </w:p>
    <w:p w14:paraId="05790A78">
      <w:pPr>
        <w:spacing w:line="480" w:lineRule="exact"/>
        <w:ind w:firstLine="480"/>
        <w:rPr>
          <w:rFonts w:ascii="宋体" w:hAnsi="宋体" w:eastAsia="宋体" w:cs="宋体"/>
          <w:color w:val="000000" w:themeColor="text1"/>
          <w:sz w:val="24"/>
          <w:szCs w:val="28"/>
          <w:highlight w:val="none"/>
          <w14:textFill>
            <w14:solidFill>
              <w14:schemeClr w14:val="tx1"/>
            </w14:solidFill>
          </w14:textFill>
        </w:rPr>
      </w:pPr>
    </w:p>
    <w:p w14:paraId="2E0AC3FC">
      <w:pPr>
        <w:spacing w:line="480" w:lineRule="exact"/>
        <w:ind w:firstLine="480"/>
        <w:rPr>
          <w:rFonts w:ascii="宋体" w:hAnsi="宋体" w:eastAsia="宋体" w:cs="宋体"/>
          <w:color w:val="000000" w:themeColor="text1"/>
          <w:sz w:val="24"/>
          <w:szCs w:val="28"/>
          <w:highlight w:val="none"/>
          <w14:textFill>
            <w14:solidFill>
              <w14:schemeClr w14:val="tx1"/>
            </w14:solidFill>
          </w14:textFill>
        </w:rPr>
      </w:pPr>
    </w:p>
    <w:p w14:paraId="7117AD8B">
      <w:pPr>
        <w:spacing w:line="480" w:lineRule="exact"/>
        <w:ind w:firstLine="480"/>
        <w:rPr>
          <w:rFonts w:ascii="宋体" w:hAnsi="宋体" w:eastAsia="宋体" w:cs="宋体"/>
          <w:color w:val="000000" w:themeColor="text1"/>
          <w:sz w:val="24"/>
          <w:szCs w:val="28"/>
          <w:highlight w:val="none"/>
          <w14:textFill>
            <w14:solidFill>
              <w14:schemeClr w14:val="tx1"/>
            </w14:solidFill>
          </w14:textFill>
        </w:rPr>
      </w:pPr>
    </w:p>
    <w:p w14:paraId="2A60BF87">
      <w:pPr>
        <w:spacing w:line="480" w:lineRule="exact"/>
        <w:ind w:firstLine="480"/>
        <w:rPr>
          <w:rFonts w:ascii="宋体" w:hAnsi="宋体" w:eastAsia="宋体" w:cs="宋体"/>
          <w:color w:val="000000" w:themeColor="text1"/>
          <w:sz w:val="24"/>
          <w:szCs w:val="28"/>
          <w:highlight w:val="none"/>
          <w14:textFill>
            <w14:solidFill>
              <w14:schemeClr w14:val="tx1"/>
            </w14:solidFill>
          </w14:textFill>
        </w:rPr>
      </w:pPr>
    </w:p>
    <w:p w14:paraId="4A19DBFA">
      <w:pPr>
        <w:widowControl/>
        <w:spacing w:line="360" w:lineRule="auto"/>
        <w:ind w:firstLine="480"/>
        <w:rPr>
          <w:rFonts w:ascii="宋体" w:hAnsi="Calibri" w:eastAsia="宋体" w:cs="Times New Roman"/>
          <w:color w:val="000000" w:themeColor="text1"/>
          <w:sz w:val="24"/>
          <w:highlight w:val="none"/>
          <w14:textFill>
            <w14:solidFill>
              <w14:schemeClr w14:val="tx1"/>
            </w14:solidFill>
          </w14:textFill>
        </w:rPr>
      </w:pPr>
    </w:p>
    <w:p w14:paraId="4DB9E5C9">
      <w:pPr>
        <w:rPr>
          <w:rFonts w:ascii="Times New Roman" w:hAnsi="Times New Roman" w:eastAsia="宋体" w:cs="Times New Roman"/>
          <w:color w:val="000000" w:themeColor="text1"/>
          <w:szCs w:val="24"/>
          <w:highlight w:val="none"/>
          <w14:textFill>
            <w14:solidFill>
              <w14:schemeClr w14:val="tx1"/>
            </w14:solidFill>
          </w14:textFill>
        </w:rPr>
      </w:pPr>
    </w:p>
    <w:p w14:paraId="1C008065">
      <w:pPr>
        <w:widowControl/>
        <w:spacing w:line="360" w:lineRule="auto"/>
        <w:ind w:firstLine="480"/>
        <w:rPr>
          <w:rFonts w:ascii="宋体" w:hAnsi="Calibri" w:eastAsia="宋体" w:cs="Times New Roman"/>
          <w:color w:val="000000" w:themeColor="text1"/>
          <w:sz w:val="24"/>
          <w:highlight w:val="none"/>
          <w14:textFill>
            <w14:solidFill>
              <w14:schemeClr w14:val="tx1"/>
            </w14:solidFill>
          </w14:textFill>
        </w:rPr>
      </w:pPr>
    </w:p>
    <w:p w14:paraId="35E8BC46">
      <w:pPr>
        <w:rPr>
          <w:rFonts w:ascii="Times New Roman" w:hAnsi="Times New Roman" w:eastAsia="宋体" w:cs="Times New Roman"/>
          <w:color w:val="000000" w:themeColor="text1"/>
          <w:szCs w:val="24"/>
          <w:highlight w:val="none"/>
          <w14:textFill>
            <w14:solidFill>
              <w14:schemeClr w14:val="tx1"/>
            </w14:solidFill>
          </w14:textFill>
        </w:rPr>
      </w:pPr>
    </w:p>
    <w:p w14:paraId="212D79B3">
      <w:pPr>
        <w:pStyle w:val="239"/>
        <w:rPr>
          <w:color w:val="000000" w:themeColor="text1"/>
          <w:highlight w:val="none"/>
          <w14:textFill>
            <w14:solidFill>
              <w14:schemeClr w14:val="tx1"/>
            </w14:solidFill>
          </w14:textFill>
        </w:rPr>
      </w:pPr>
      <w:bookmarkStart w:id="83" w:name="_Toc14704"/>
    </w:p>
    <w:p w14:paraId="4CACA858">
      <w:pPr>
        <w:pStyle w:val="239"/>
        <w:rPr>
          <w:color w:val="000000" w:themeColor="text1"/>
          <w:highlight w:val="none"/>
          <w14:textFill>
            <w14:solidFill>
              <w14:schemeClr w14:val="tx1"/>
            </w14:solidFill>
          </w14:textFill>
        </w:rPr>
      </w:pPr>
    </w:p>
    <w:p w14:paraId="4079BC2B">
      <w:pPr>
        <w:pStyle w:val="239"/>
        <w:rPr>
          <w:color w:val="000000" w:themeColor="text1"/>
          <w:highlight w:val="none"/>
          <w14:textFill>
            <w14:solidFill>
              <w14:schemeClr w14:val="tx1"/>
            </w14:solidFill>
          </w14:textFill>
        </w:rPr>
      </w:pPr>
    </w:p>
    <w:p w14:paraId="0F853C67">
      <w:pPr>
        <w:pStyle w:val="239"/>
        <w:rPr>
          <w:color w:val="000000" w:themeColor="text1"/>
          <w:highlight w:val="none"/>
          <w14:textFill>
            <w14:solidFill>
              <w14:schemeClr w14:val="tx1"/>
            </w14:solidFill>
          </w14:textFill>
        </w:rPr>
      </w:pPr>
    </w:p>
    <w:p w14:paraId="1C2F116E">
      <w:pPr>
        <w:pStyle w:val="239"/>
        <w:rPr>
          <w:color w:val="000000" w:themeColor="text1"/>
          <w:highlight w:val="none"/>
          <w14:textFill>
            <w14:solidFill>
              <w14:schemeClr w14:val="tx1"/>
            </w14:solidFill>
          </w14:textFill>
        </w:rPr>
      </w:pPr>
    </w:p>
    <w:p w14:paraId="40BBF0D0">
      <w:pPr>
        <w:spacing w:before="260" w:after="260" w:line="416" w:lineRule="auto"/>
        <w:jc w:val="center"/>
        <w:outlineLvl w:val="1"/>
        <w:rPr>
          <w:rFonts w:ascii="宋体" w:hAnsi="宋体" w:eastAsia="幼圆" w:cs="宋体"/>
          <w:b/>
          <w:bCs/>
          <w:color w:val="000000" w:themeColor="text1"/>
          <w:sz w:val="32"/>
          <w:szCs w:val="32"/>
          <w:highlight w:val="none"/>
          <w14:textFill>
            <w14:solidFill>
              <w14:schemeClr w14:val="tx1"/>
            </w14:solidFill>
          </w14:textFill>
        </w:rPr>
        <w:sectPr>
          <w:pgSz w:w="11906" w:h="16838"/>
          <w:pgMar w:top="1142" w:right="1304" w:bottom="1285" w:left="1588" w:header="851" w:footer="992" w:gutter="0"/>
          <w:cols w:space="720" w:num="1"/>
          <w:docGrid w:linePitch="360" w:charSpace="0"/>
        </w:sectPr>
      </w:pPr>
    </w:p>
    <w:p w14:paraId="541262F2">
      <w:pPr>
        <w:spacing w:before="260" w:after="260" w:line="416" w:lineRule="auto"/>
        <w:jc w:val="center"/>
        <w:outlineLvl w:val="1"/>
        <w:rPr>
          <w:rFonts w:ascii="宋体" w:hAnsi="宋体" w:eastAsia="宋体" w:cs="宋体"/>
          <w:bCs/>
          <w:color w:val="000000" w:themeColor="text1"/>
          <w:sz w:val="24"/>
          <w:szCs w:val="32"/>
          <w:highlight w:val="none"/>
          <w14:textFill>
            <w14:solidFill>
              <w14:schemeClr w14:val="tx1"/>
            </w14:solidFill>
          </w14:textFill>
        </w:rPr>
      </w:pPr>
      <w:r>
        <w:rPr>
          <w:rFonts w:hint="eastAsia" w:ascii="宋体" w:hAnsi="宋体" w:eastAsia="幼圆" w:cs="宋体"/>
          <w:b/>
          <w:bCs/>
          <w:color w:val="000000" w:themeColor="text1"/>
          <w:sz w:val="32"/>
          <w:szCs w:val="32"/>
          <w:highlight w:val="none"/>
          <w14:textFill>
            <w14:solidFill>
              <w14:schemeClr w14:val="tx1"/>
            </w14:solidFill>
          </w14:textFill>
        </w:rPr>
        <w:t>8.</w:t>
      </w:r>
      <w:bookmarkEnd w:id="83"/>
      <w:r>
        <w:rPr>
          <w:rFonts w:hint="eastAsia" w:ascii="宋体" w:hAnsi="宋体" w:eastAsia="宋体" w:cs="宋体"/>
          <w:bCs/>
          <w:color w:val="000000" w:themeColor="text1"/>
          <w:sz w:val="32"/>
          <w:szCs w:val="32"/>
          <w:highlight w:val="none"/>
          <w14:textFill>
            <w14:solidFill>
              <w14:schemeClr w14:val="tx1"/>
            </w14:solidFill>
          </w14:textFill>
        </w:rPr>
        <w:t xml:space="preserve"> 投标人承诺书</w:t>
      </w:r>
    </w:p>
    <w:p w14:paraId="28F66517">
      <w:pPr>
        <w:spacing w:line="480" w:lineRule="exac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致：采购单位                </w:t>
      </w:r>
    </w:p>
    <w:p w14:paraId="370483ED">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我公司参与贵单位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工程项目的投标工作，我单位郑重承诺：</w:t>
      </w:r>
    </w:p>
    <w:p w14:paraId="67242D71">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所报项目负责人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同志</w:t>
      </w:r>
      <w:r>
        <w:rPr>
          <w:rFonts w:hint="eastAsia" w:ascii="宋体" w:hAnsi="宋体" w:eastAsia="宋体" w:cs="宋体"/>
          <w:color w:val="000000" w:themeColor="text1"/>
          <w:sz w:val="24"/>
          <w:szCs w:val="24"/>
          <w:highlight w:val="none"/>
          <w14:textFill>
            <w14:solidFill>
              <w14:schemeClr w14:val="tx1"/>
            </w14:solidFill>
          </w14:textFill>
        </w:rPr>
        <w:t>无在建工程（或无在其它项目变更(需经项目属地建设主管部门确认)后未超过6个月的）且中标后项目经理在岗履职，项目管理人员按规定到岗履职</w:t>
      </w:r>
      <w:r>
        <w:rPr>
          <w:rFonts w:hint="eastAsia" w:ascii="宋体" w:hAnsi="宋体" w:eastAsia="宋体" w:cs="宋体"/>
          <w:bCs/>
          <w:color w:val="000000" w:themeColor="text1"/>
          <w:sz w:val="24"/>
          <w:szCs w:val="24"/>
          <w:highlight w:val="none"/>
          <w14:textFill>
            <w14:solidFill>
              <w14:schemeClr w14:val="tx1"/>
            </w14:solidFill>
          </w14:textFill>
        </w:rPr>
        <w:t>。如违反规定，将自愿放弃中标资格，承担违约责任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0C347C4B">
      <w:pPr>
        <w:spacing w:line="480" w:lineRule="exact"/>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我公司</w:t>
      </w:r>
      <w:r>
        <w:rPr>
          <w:rFonts w:hint="eastAsia" w:ascii="宋体" w:hAnsi="宋体" w:eastAsia="宋体" w:cs="宋体"/>
          <w:bCs/>
          <w:color w:val="000000" w:themeColor="text1"/>
          <w:sz w:val="24"/>
          <w:szCs w:val="24"/>
          <w:highlight w:val="none"/>
          <w:u w:val="single"/>
          <w14:textFill>
            <w14:solidFill>
              <w14:schemeClr w14:val="tx1"/>
            </w14:solidFill>
          </w14:textFill>
        </w:rPr>
        <w:t>      </w:t>
      </w:r>
      <w:r>
        <w:rPr>
          <w:rFonts w:hint="eastAsia" w:ascii="宋体" w:hAnsi="宋体" w:eastAsia="宋体" w:cs="宋体"/>
          <w:bCs/>
          <w:color w:val="000000" w:themeColor="text1"/>
          <w:sz w:val="24"/>
          <w:szCs w:val="24"/>
          <w:highlight w:val="none"/>
          <w14:textFill>
            <w14:solidFill>
              <w14:schemeClr w14:val="tx1"/>
            </w14:solidFill>
          </w14:textFill>
        </w:rPr>
        <w:t>（超过3年）、法定代表人</w:t>
      </w:r>
      <w:r>
        <w:rPr>
          <w:rFonts w:hint="eastAsia" w:ascii="宋体" w:hAnsi="宋体" w:eastAsia="宋体" w:cs="宋体"/>
          <w:bCs/>
          <w:color w:val="000000" w:themeColor="text1"/>
          <w:sz w:val="24"/>
          <w:szCs w:val="24"/>
          <w:highlight w:val="none"/>
          <w:u w:val="single"/>
          <w14:textFill>
            <w14:solidFill>
              <w14:schemeClr w14:val="tx1"/>
            </w14:solidFill>
          </w14:textFill>
        </w:rPr>
        <w:t>    </w:t>
      </w:r>
      <w:r>
        <w:rPr>
          <w:rFonts w:hint="eastAsia" w:ascii="宋体" w:hAnsi="宋体" w:eastAsia="宋体" w:cs="宋体"/>
          <w:bCs/>
          <w:color w:val="000000" w:themeColor="text1"/>
          <w:sz w:val="24"/>
          <w:szCs w:val="24"/>
          <w:highlight w:val="none"/>
          <w14:textFill>
            <w14:solidFill>
              <w14:schemeClr w14:val="tx1"/>
            </w14:solidFill>
          </w14:textFill>
        </w:rPr>
        <w:t>（超过5年）、项目负责人</w:t>
      </w:r>
      <w:r>
        <w:rPr>
          <w:rFonts w:hint="eastAsia" w:ascii="宋体" w:hAnsi="宋体" w:eastAsia="宋体" w:cs="宋体"/>
          <w:bCs/>
          <w:color w:val="000000" w:themeColor="text1"/>
          <w:sz w:val="24"/>
          <w:szCs w:val="24"/>
          <w:highlight w:val="none"/>
          <w:u w:val="single"/>
          <w14:textFill>
            <w14:solidFill>
              <w14:schemeClr w14:val="tx1"/>
            </w14:solidFill>
          </w14:textFill>
        </w:rPr>
        <w:t>    </w:t>
      </w:r>
      <w:r>
        <w:rPr>
          <w:rFonts w:hint="eastAsia" w:ascii="宋体" w:hAnsi="宋体" w:eastAsia="宋体" w:cs="宋体"/>
          <w:bCs/>
          <w:color w:val="000000" w:themeColor="text1"/>
          <w:sz w:val="24"/>
          <w:szCs w:val="24"/>
          <w:highlight w:val="none"/>
          <w14:textFill>
            <w14:solidFill>
              <w14:schemeClr w14:val="tx1"/>
            </w14:solidFill>
          </w14:textFill>
        </w:rPr>
        <w:t>（超过5年）无行贿犯罪记录；</w:t>
      </w:r>
    </w:p>
    <w:p w14:paraId="6CC0DA90">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3、本公司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、公司法定代表人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及授权委托代表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行为遵守法律法规规定，不在人民法院公布的失信被执行人名单中，愿意接受社会各界监督，一旦发现有虚假承诺行为，贵公司可立即终止我公司的中标资格，并上报相关主管部门追究我公司责任，同时自愿接受苏信用办【2018】23 号文中相关规定的处罚。</w:t>
      </w:r>
    </w:p>
    <w:p w14:paraId="6991B12B">
      <w:pPr>
        <w:spacing w:line="480" w:lineRule="exact"/>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4、所报项目负责人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同志及本单位未被建设行政主管部门限制在招标项目所在地投标，本单位不存在借牌挂靠行为，不出借挂靠资质；</w:t>
      </w:r>
    </w:p>
    <w:p w14:paraId="784C42A2">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供应商本次投标所用资质在投标文件递交截止时间当日为江苏省建筑业监管信息平台“动态监管不合格资质查询”中为合格企业。</w:t>
      </w:r>
    </w:p>
    <w:p w14:paraId="2452A3DA">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6、投标全过程（含异议、投诉环节）出示的文件资料均是真实、有效的。</w:t>
      </w:r>
    </w:p>
    <w:p w14:paraId="2D2D9C2D">
      <w:pPr>
        <w:spacing w:line="48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上，我单位承诺如有虚假，愿意无条件接受被取消预审（合格）资格、投标或中标（候选人）资格、投标保证金不予退还，合同解除及清除出场，一切损失由我单位自行承担，同时愿意接受相关处罚，特此承诺！</w:t>
      </w:r>
    </w:p>
    <w:p w14:paraId="66ABC103">
      <w:pPr>
        <w:spacing w:line="380" w:lineRule="exact"/>
        <w:rPr>
          <w:rFonts w:ascii="宋体" w:hAnsi="宋体" w:eastAsia="宋体" w:cs="宋体"/>
          <w:color w:val="000000" w:themeColor="text1"/>
          <w:sz w:val="24"/>
          <w:szCs w:val="24"/>
          <w:highlight w:val="none"/>
          <w14:textFill>
            <w14:solidFill>
              <w14:schemeClr w14:val="tx1"/>
            </w14:solidFill>
          </w14:textFill>
        </w:rPr>
      </w:pPr>
    </w:p>
    <w:p w14:paraId="0851A7EC">
      <w:pPr>
        <w:spacing w:line="380" w:lineRule="exact"/>
        <w:rPr>
          <w:rFonts w:ascii="宋体" w:hAnsi="宋体" w:eastAsia="宋体" w:cs="宋体"/>
          <w:color w:val="000000" w:themeColor="text1"/>
          <w:sz w:val="24"/>
          <w:szCs w:val="24"/>
          <w:highlight w:val="none"/>
          <w14:textFill>
            <w14:solidFill>
              <w14:schemeClr w14:val="tx1"/>
            </w14:solidFill>
          </w14:textFill>
        </w:rPr>
      </w:pPr>
    </w:p>
    <w:p w14:paraId="02EB7D80">
      <w:pPr>
        <w:spacing w:line="3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                 （盖章）</w:t>
      </w:r>
    </w:p>
    <w:p w14:paraId="3EDD730F">
      <w:pPr>
        <w:spacing w:line="3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             （签字或盖章）</w:t>
      </w:r>
    </w:p>
    <w:p w14:paraId="14349824">
      <w:pPr>
        <w:spacing w:line="3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项目负责人：             （签字）</w:t>
      </w:r>
    </w:p>
    <w:p w14:paraId="37E48585">
      <w:pPr>
        <w:spacing w:line="3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项目负责人证书编号：</w:t>
      </w:r>
    </w:p>
    <w:p w14:paraId="4C8D8E0E">
      <w:pPr>
        <w:spacing w:line="380" w:lineRule="exact"/>
        <w:rPr>
          <w:rFonts w:ascii="宋体" w:hAnsi="宋体" w:eastAsia="宋体" w:cs="宋体"/>
          <w:color w:val="000000" w:themeColor="text1"/>
          <w:sz w:val="24"/>
          <w:szCs w:val="24"/>
          <w:highlight w:val="none"/>
          <w14:textFill>
            <w14:solidFill>
              <w14:schemeClr w14:val="tx1"/>
            </w14:solidFill>
          </w14:textFill>
        </w:rPr>
      </w:pPr>
    </w:p>
    <w:p w14:paraId="4E908873">
      <w:pPr>
        <w:spacing w:line="380" w:lineRule="exact"/>
        <w:ind w:firstLine="36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527CD51B">
      <w:pPr>
        <w:pStyle w:val="239"/>
        <w:rPr>
          <w:color w:val="000000" w:themeColor="text1"/>
          <w:highlight w:val="none"/>
          <w14:textFill>
            <w14:solidFill>
              <w14:schemeClr w14:val="tx1"/>
            </w14:solidFill>
          </w14:textFill>
        </w:rPr>
      </w:pPr>
    </w:p>
    <w:p w14:paraId="317181A7">
      <w:pPr>
        <w:rPr>
          <w:rFonts w:ascii="Times New Roman" w:hAnsi="Times New Roman" w:eastAsia="宋体" w:cs="Times New Roman"/>
          <w:color w:val="000000" w:themeColor="text1"/>
          <w:szCs w:val="24"/>
          <w:highlight w:val="none"/>
          <w14:textFill>
            <w14:solidFill>
              <w14:schemeClr w14:val="tx1"/>
            </w14:solidFill>
          </w14:textFill>
        </w:rPr>
      </w:pPr>
    </w:p>
    <w:p w14:paraId="4CA310D9">
      <w:pPr>
        <w:spacing w:line="500" w:lineRule="exact"/>
        <w:ind w:firstLine="723"/>
        <w:jc w:val="center"/>
        <w:rPr>
          <w:rFonts w:ascii="黑体" w:hAnsi="黑体" w:eastAsia="黑体" w:cs="Times New Roman"/>
          <w:b/>
          <w:bCs/>
          <w:color w:val="000000" w:themeColor="text1"/>
          <w:sz w:val="36"/>
          <w:szCs w:val="36"/>
          <w:highlight w:val="none"/>
          <w14:textFill>
            <w14:solidFill>
              <w14:schemeClr w14:val="tx1"/>
            </w14:solidFill>
          </w14:textFill>
        </w:rPr>
      </w:pPr>
      <w:r>
        <w:rPr>
          <w:rFonts w:ascii="黑体" w:hAnsi="黑体" w:eastAsia="黑体" w:cs="Times New Roman"/>
          <w:b/>
          <w:bCs/>
          <w:color w:val="000000" w:themeColor="text1"/>
          <w:sz w:val="36"/>
          <w:szCs w:val="36"/>
          <w:highlight w:val="none"/>
          <w14:textFill>
            <w14:solidFill>
              <w14:schemeClr w14:val="tx1"/>
            </w14:solidFill>
          </w14:textFill>
        </w:rPr>
        <w:t>9</w:t>
      </w:r>
      <w:r>
        <w:rPr>
          <w:rFonts w:hint="eastAsia" w:ascii="黑体" w:hAnsi="黑体" w:eastAsia="黑体" w:cs="Times New Roman"/>
          <w:b/>
          <w:bCs/>
          <w:color w:val="000000" w:themeColor="text1"/>
          <w:sz w:val="36"/>
          <w:szCs w:val="36"/>
          <w:highlight w:val="none"/>
          <w14:textFill>
            <w14:solidFill>
              <w14:schemeClr w14:val="tx1"/>
            </w14:solidFill>
          </w14:textFill>
        </w:rPr>
        <w:t xml:space="preserve">.投标人基本情况表 </w:t>
      </w:r>
    </w:p>
    <w:tbl>
      <w:tblPr>
        <w:tblStyle w:val="51"/>
        <w:tblW w:w="9051" w:type="dxa"/>
        <w:jc w:val="center"/>
        <w:tblLayout w:type="autofit"/>
        <w:tblCellMar>
          <w:top w:w="0" w:type="dxa"/>
          <w:left w:w="0" w:type="dxa"/>
          <w:bottom w:w="0" w:type="dxa"/>
          <w:right w:w="0" w:type="dxa"/>
        </w:tblCellMar>
      </w:tblPr>
      <w:tblGrid>
        <w:gridCol w:w="1796"/>
        <w:gridCol w:w="961"/>
        <w:gridCol w:w="1090"/>
        <w:gridCol w:w="1906"/>
        <w:gridCol w:w="1770"/>
        <w:gridCol w:w="931"/>
        <w:gridCol w:w="566"/>
        <w:gridCol w:w="31"/>
      </w:tblGrid>
      <w:tr w14:paraId="183321DA">
        <w:tblPrEx>
          <w:tblCellMar>
            <w:top w:w="0" w:type="dxa"/>
            <w:left w:w="0" w:type="dxa"/>
            <w:bottom w:w="0" w:type="dxa"/>
            <w:right w:w="0" w:type="dxa"/>
          </w:tblCellMar>
        </w:tblPrEx>
        <w:trPr>
          <w:gridAfter w:val="1"/>
          <w:wAfter w:w="31" w:type="dxa"/>
          <w:trHeight w:val="392"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DC73F65">
            <w:pPr>
              <w:spacing w:line="240" w:lineRule="exact"/>
              <w:ind w:firstLine="36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投标人</w:t>
            </w:r>
          </w:p>
          <w:p w14:paraId="37921689">
            <w:pPr>
              <w:spacing w:line="2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（供应商）名称</w:t>
            </w:r>
          </w:p>
        </w:tc>
        <w:tc>
          <w:tcPr>
            <w:tcW w:w="7224" w:type="dxa"/>
            <w:gridSpan w:val="6"/>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169FDF8">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r>
      <w:tr w14:paraId="1CDD10DF">
        <w:trPr>
          <w:gridAfter w:val="1"/>
          <w:wAfter w:w="31" w:type="dxa"/>
          <w:trHeight w:val="252"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B4860E5">
            <w:pPr>
              <w:spacing w:line="240" w:lineRule="exact"/>
              <w:ind w:firstLine="240"/>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注册地址</w:t>
            </w:r>
          </w:p>
        </w:tc>
        <w:tc>
          <w:tcPr>
            <w:tcW w:w="3957" w:type="dxa"/>
            <w:gridSpan w:val="3"/>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05A00A8">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9053B82">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邮政编码</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DF2E646">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76AC59B8">
        <w:tblPrEx>
          <w:tblCellMar>
            <w:top w:w="0" w:type="dxa"/>
            <w:left w:w="0" w:type="dxa"/>
            <w:bottom w:w="0" w:type="dxa"/>
            <w:right w:w="0" w:type="dxa"/>
          </w:tblCellMar>
        </w:tblPrEx>
        <w:trPr>
          <w:gridAfter w:val="1"/>
          <w:wAfter w:w="31" w:type="dxa"/>
          <w:trHeight w:val="391"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70FA3AD7">
            <w:pPr>
              <w:spacing w:line="240" w:lineRule="exact"/>
              <w:rPr>
                <w:rFonts w:ascii="Times New Roman" w:hAnsi="Times New Roman" w:eastAsia="宋体" w:cs="Times New Roman"/>
                <w:b/>
                <w:color w:val="000000" w:themeColor="text1"/>
                <w:sz w:val="24"/>
                <w:szCs w:val="24"/>
                <w:highlight w:val="none"/>
                <w14:textFill>
                  <w14:solidFill>
                    <w14:schemeClr w14:val="tx1"/>
                  </w14:solidFill>
                </w14:textFill>
              </w:rPr>
            </w:pPr>
            <w:r>
              <w:rPr>
                <w:rFonts w:hint="eastAsia" w:ascii="Times New Roman" w:hAnsi="Times New Roman" w:eastAsia="宋体" w:cs="Times New Roman"/>
                <w:b/>
                <w:color w:val="000000" w:themeColor="text1"/>
                <w:sz w:val="24"/>
                <w:szCs w:val="24"/>
                <w:highlight w:val="none"/>
                <w14:textFill>
                  <w14:solidFill>
                    <w14:schemeClr w14:val="tx1"/>
                  </w14:solidFill>
                </w14:textFill>
              </w:rPr>
              <w:t>委托代理人</w:t>
            </w:r>
          </w:p>
          <w:p w14:paraId="276726EE">
            <w:pPr>
              <w:spacing w:line="240" w:lineRule="exact"/>
              <w:ind w:firstLine="120"/>
              <w:rPr>
                <w:rFonts w:ascii="宋体" w:hAnsi="宋体" w:eastAsia="宋体" w:cs="宋体"/>
                <w:b/>
                <w:color w:val="000000" w:themeColor="text1"/>
                <w:sz w:val="24"/>
                <w:szCs w:val="24"/>
                <w:highlight w:val="none"/>
                <w14:textFill>
                  <w14:solidFill>
                    <w14:schemeClr w14:val="tx1"/>
                  </w14:solidFill>
                </w14:textFill>
              </w:rPr>
            </w:pPr>
            <w:r>
              <w:rPr>
                <w:rFonts w:hint="eastAsia" w:ascii="Times New Roman" w:hAnsi="Times New Roman" w:eastAsia="宋体" w:cs="Times New Roman"/>
                <w:b/>
                <w:color w:val="000000" w:themeColor="text1"/>
                <w:sz w:val="24"/>
                <w:szCs w:val="24"/>
                <w:highlight w:val="none"/>
                <w14:textFill>
                  <w14:solidFill>
                    <w14:schemeClr w14:val="tx1"/>
                  </w14:solidFill>
                </w14:textFill>
              </w:rPr>
              <w:t>联系方式</w:t>
            </w:r>
          </w:p>
        </w:tc>
        <w:tc>
          <w:tcPr>
            <w:tcW w:w="96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B90C867">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联系人</w:t>
            </w:r>
          </w:p>
        </w:tc>
        <w:tc>
          <w:tcPr>
            <w:tcW w:w="2996"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2F61C68">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2F394F88">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手机号码</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1789F8D">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r>
      <w:tr w14:paraId="3416B335">
        <w:tblPrEx>
          <w:tblCellMar>
            <w:top w:w="0" w:type="dxa"/>
            <w:left w:w="0" w:type="dxa"/>
            <w:bottom w:w="0" w:type="dxa"/>
            <w:right w:w="0" w:type="dxa"/>
          </w:tblCellMar>
        </w:tblPrEx>
        <w:trPr>
          <w:gridAfter w:val="1"/>
          <w:wAfter w:w="31" w:type="dxa"/>
          <w:trHeight w:val="309"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159AF313">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96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EFF3ED5">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传真</w:t>
            </w:r>
          </w:p>
        </w:tc>
        <w:tc>
          <w:tcPr>
            <w:tcW w:w="2996"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40A44B3">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4C46B0E">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网址</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7E8EA979">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r>
      <w:tr w14:paraId="10FA3EC2">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5D8ACAC">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组织结构</w:t>
            </w:r>
          </w:p>
        </w:tc>
        <w:tc>
          <w:tcPr>
            <w:tcW w:w="7224" w:type="dxa"/>
            <w:gridSpan w:val="6"/>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3556DC4">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r>
      <w:tr w14:paraId="31F58232">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B0A1448">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法定代表人</w:t>
            </w:r>
          </w:p>
        </w:tc>
        <w:tc>
          <w:tcPr>
            <w:tcW w:w="96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9444881">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姓名</w:t>
            </w:r>
          </w:p>
        </w:tc>
        <w:tc>
          <w:tcPr>
            <w:tcW w:w="109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791223C">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190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240944D">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技术职称</w:t>
            </w: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87E9F24">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c>
          <w:tcPr>
            <w:tcW w:w="93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BDF2629">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电话</w:t>
            </w:r>
          </w:p>
        </w:tc>
        <w:tc>
          <w:tcPr>
            <w:tcW w:w="5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4D34913">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275F7684">
        <w:tblPrEx>
          <w:tblCellMar>
            <w:top w:w="0" w:type="dxa"/>
            <w:left w:w="0" w:type="dxa"/>
            <w:bottom w:w="0" w:type="dxa"/>
            <w:right w:w="0" w:type="dxa"/>
          </w:tblCellMar>
        </w:tblPrEx>
        <w:trPr>
          <w:trHeight w:val="344"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28C8C7AC">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技术负责人</w:t>
            </w:r>
          </w:p>
        </w:tc>
        <w:tc>
          <w:tcPr>
            <w:tcW w:w="96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CD2E53C">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姓名</w:t>
            </w:r>
          </w:p>
        </w:tc>
        <w:tc>
          <w:tcPr>
            <w:tcW w:w="109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76D0908F">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c>
          <w:tcPr>
            <w:tcW w:w="190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5D15C48">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技术职称</w:t>
            </w: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27E1E4EB">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c>
          <w:tcPr>
            <w:tcW w:w="931"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5ED6C65">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电话</w:t>
            </w:r>
          </w:p>
        </w:tc>
        <w:tc>
          <w:tcPr>
            <w:tcW w:w="5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88EAEB0">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4216B014">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07AB0A2">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成立时间</w:t>
            </w:r>
          </w:p>
        </w:tc>
        <w:tc>
          <w:tcPr>
            <w:tcW w:w="2051"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ABFBD31">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c>
          <w:tcPr>
            <w:tcW w:w="5173" w:type="dxa"/>
            <w:gridSpan w:val="4"/>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879C8BF">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员工人数</w:t>
            </w:r>
            <w:r>
              <w:rPr>
                <w:rFonts w:ascii="Times New Roman" w:hAnsi="Times New Roman" w:eastAsia="宋体" w:cs="Times New Roman"/>
                <w:color w:val="000000" w:themeColor="text1"/>
                <w:sz w:val="24"/>
                <w:szCs w:val="24"/>
                <w:highlight w:val="none"/>
                <w14:textFill>
                  <w14:solidFill>
                    <w14:schemeClr w14:val="tx1"/>
                  </w14:solidFill>
                </w14:textFill>
              </w:rPr>
              <w:t>:</w:t>
            </w:r>
          </w:p>
        </w:tc>
      </w:tr>
      <w:tr w14:paraId="3427D019">
        <w:tblPrEx>
          <w:tblCellMar>
            <w:top w:w="0" w:type="dxa"/>
            <w:left w:w="0" w:type="dxa"/>
            <w:bottom w:w="0" w:type="dxa"/>
            <w:right w:w="0" w:type="dxa"/>
          </w:tblCellMar>
        </w:tblPrEx>
        <w:trPr>
          <w:gridAfter w:val="1"/>
          <w:wAfter w:w="31" w:type="dxa"/>
          <w:trHeight w:val="823"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5F2B7BD">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企业资质等级</w:t>
            </w:r>
          </w:p>
        </w:tc>
        <w:tc>
          <w:tcPr>
            <w:tcW w:w="2051" w:type="dxa"/>
            <w:gridSpan w:val="2"/>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4703B75">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1906" w:type="dxa"/>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9C1224F">
            <w:pPr>
              <w:spacing w:line="240" w:lineRule="exact"/>
              <w:ind w:firstLine="48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其中</w:t>
            </w:r>
          </w:p>
        </w:tc>
        <w:tc>
          <w:tcPr>
            <w:tcW w:w="1770" w:type="dxa"/>
            <w:vMerge w:val="restart"/>
            <w:tcBorders>
              <w:top w:val="single" w:color="000000" w:sz="6" w:space="0"/>
              <w:left w:val="single" w:color="000000" w:sz="6" w:space="0"/>
              <w:bottom w:val="single" w:color="auto" w:sz="4" w:space="0"/>
              <w:right w:val="single" w:color="000000" w:sz="6" w:space="0"/>
            </w:tcBorders>
            <w:tcMar>
              <w:top w:w="108" w:type="dxa"/>
              <w:left w:w="108" w:type="dxa"/>
              <w:bottom w:w="108" w:type="dxa"/>
              <w:right w:w="108" w:type="dxa"/>
            </w:tcMar>
            <w:vAlign w:val="center"/>
          </w:tcPr>
          <w:p w14:paraId="1110E639">
            <w:pPr>
              <w:spacing w:line="240" w:lineRule="exact"/>
              <w:ind w:firstLine="12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项目经理</w:t>
            </w:r>
          </w:p>
          <w:p w14:paraId="6319923A">
            <w:pPr>
              <w:spacing w:line="2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项目负责人</w:t>
            </w:r>
            <w:r>
              <w:rPr>
                <w:rFonts w:ascii="Times New Roman" w:hAnsi="Times New Roman" w:eastAsia="宋体" w:cs="Times New Roman"/>
                <w:color w:val="000000" w:themeColor="text1"/>
                <w:sz w:val="24"/>
                <w:szCs w:val="24"/>
                <w:highlight w:val="none"/>
                <w14:textFill>
                  <w14:solidFill>
                    <w14:schemeClr w14:val="tx1"/>
                  </w14:solidFill>
                </w14:textFill>
              </w:rPr>
              <w:t>)</w:t>
            </w:r>
          </w:p>
        </w:tc>
        <w:tc>
          <w:tcPr>
            <w:tcW w:w="1497" w:type="dxa"/>
            <w:gridSpan w:val="2"/>
            <w:tcBorders>
              <w:top w:val="single" w:color="000000" w:sz="6" w:space="0"/>
              <w:left w:val="single" w:color="000000" w:sz="6" w:space="0"/>
              <w:bottom w:val="single" w:color="auto" w:sz="4" w:space="0"/>
              <w:right w:val="single" w:color="000000" w:sz="6" w:space="0"/>
            </w:tcBorders>
            <w:tcMar>
              <w:top w:w="108" w:type="dxa"/>
              <w:left w:w="108" w:type="dxa"/>
              <w:bottom w:w="108" w:type="dxa"/>
              <w:right w:w="108" w:type="dxa"/>
            </w:tcMar>
            <w:vAlign w:val="center"/>
          </w:tcPr>
          <w:p w14:paraId="00336F5C">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3245C604">
        <w:tblPrEx>
          <w:tblCellMar>
            <w:top w:w="0" w:type="dxa"/>
            <w:left w:w="0" w:type="dxa"/>
            <w:bottom w:w="0" w:type="dxa"/>
            <w:right w:w="0" w:type="dxa"/>
          </w:tblCellMar>
        </w:tblPrEx>
        <w:trPr>
          <w:gridAfter w:val="1"/>
          <w:wAfter w:w="31" w:type="dxa"/>
          <w:trHeight w:val="572"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25E03F14">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0" w:type="auto"/>
            <w:gridSpan w:val="2"/>
            <w:vMerge w:val="continue"/>
            <w:tcBorders>
              <w:top w:val="single" w:color="000000" w:sz="6" w:space="0"/>
              <w:left w:val="single" w:color="000000" w:sz="6" w:space="0"/>
              <w:bottom w:val="single" w:color="000000" w:sz="6" w:space="0"/>
              <w:right w:val="single" w:color="000000" w:sz="6" w:space="0"/>
            </w:tcBorders>
            <w:vAlign w:val="center"/>
          </w:tcPr>
          <w:p w14:paraId="3991D271">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37F32373">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1770" w:type="dxa"/>
            <w:vMerge w:val="restart"/>
            <w:tcBorders>
              <w:top w:val="single" w:color="auto" w:sz="4"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936A297">
            <w:pPr>
              <w:spacing w:line="2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高级职称人员</w:t>
            </w:r>
          </w:p>
        </w:tc>
        <w:tc>
          <w:tcPr>
            <w:tcW w:w="1497" w:type="dxa"/>
            <w:gridSpan w:val="2"/>
            <w:vMerge w:val="restart"/>
            <w:tcBorders>
              <w:top w:val="single" w:color="auto" w:sz="4"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454238A">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3836C311">
        <w:tblPrEx>
          <w:tblCellMar>
            <w:top w:w="0" w:type="dxa"/>
            <w:left w:w="0" w:type="dxa"/>
            <w:bottom w:w="0" w:type="dxa"/>
            <w:right w:w="0" w:type="dxa"/>
          </w:tblCellMar>
        </w:tblPrEx>
        <w:trPr>
          <w:gridAfter w:val="1"/>
          <w:wAfter w:w="31" w:type="dxa"/>
          <w:trHeight w:val="20"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873EE10">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营业执照号</w:t>
            </w:r>
          </w:p>
        </w:tc>
        <w:tc>
          <w:tcPr>
            <w:tcW w:w="2051"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711F4CE4">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20040711">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0" w:type="auto"/>
            <w:vMerge w:val="continue"/>
            <w:tcBorders>
              <w:top w:val="single" w:color="auto" w:sz="4" w:space="0"/>
              <w:left w:val="single" w:color="000000" w:sz="6" w:space="0"/>
              <w:bottom w:val="single" w:color="000000" w:sz="6" w:space="0"/>
              <w:right w:val="single" w:color="000000" w:sz="6" w:space="0"/>
            </w:tcBorders>
            <w:vAlign w:val="center"/>
          </w:tcPr>
          <w:p w14:paraId="63849D9D">
            <w:pPr>
              <w:widowControl/>
              <w:spacing w:line="360" w:lineRule="auto"/>
              <w:ind w:firstLine="480"/>
              <w:jc w:val="left"/>
              <w:rPr>
                <w:rFonts w:ascii="Times New Roman" w:hAnsi="Times New Roman" w:eastAsia="宋体" w:cs="Times New Roman"/>
                <w:color w:val="000000" w:themeColor="text1"/>
                <w:sz w:val="24"/>
                <w:szCs w:val="24"/>
                <w:highlight w:val="none"/>
                <w14:textFill>
                  <w14:solidFill>
                    <w14:schemeClr w14:val="tx1"/>
                  </w14:solidFill>
                </w14:textFill>
              </w:rPr>
            </w:pPr>
          </w:p>
        </w:tc>
        <w:tc>
          <w:tcPr>
            <w:tcW w:w="0" w:type="auto"/>
            <w:gridSpan w:val="2"/>
            <w:vMerge w:val="continue"/>
            <w:tcBorders>
              <w:top w:val="single" w:color="auto" w:sz="4" w:space="0"/>
              <w:left w:val="single" w:color="000000" w:sz="6" w:space="0"/>
              <w:bottom w:val="single" w:color="000000" w:sz="6" w:space="0"/>
              <w:right w:val="single" w:color="000000" w:sz="6" w:space="0"/>
            </w:tcBorders>
            <w:vAlign w:val="center"/>
          </w:tcPr>
          <w:p w14:paraId="18466ADA">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r>
      <w:tr w14:paraId="72BA1FCD">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F4B697C">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注册资金</w:t>
            </w:r>
          </w:p>
        </w:tc>
        <w:tc>
          <w:tcPr>
            <w:tcW w:w="2051"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09B8D5C2">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（万元）</w:t>
            </w:r>
          </w:p>
        </w:tc>
        <w:tc>
          <w:tcPr>
            <w:tcW w:w="0" w:type="auto"/>
            <w:vMerge w:val="continue"/>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2C0840A2">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1770" w:type="dxa"/>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39D4AE12">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中级职称人员</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F003514">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55059960">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7ABA5C2">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开户银行</w:t>
            </w:r>
          </w:p>
        </w:tc>
        <w:tc>
          <w:tcPr>
            <w:tcW w:w="2051"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28C9884">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0" w:type="auto"/>
            <w:vMerge w:val="continue"/>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F2482F8">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1770" w:type="dxa"/>
            <w:vMerge w:val="restart"/>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831EFC5">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初级职称人员</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150DA1F2">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3337ED65">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E1389A9">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账号</w:t>
            </w:r>
          </w:p>
        </w:tc>
        <w:tc>
          <w:tcPr>
            <w:tcW w:w="2051"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32A6BE1">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c>
          <w:tcPr>
            <w:tcW w:w="0" w:type="auto"/>
            <w:vMerge w:val="continue"/>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6E040ED4">
            <w:pPr>
              <w:widowControl/>
              <w:spacing w:line="360" w:lineRule="auto"/>
              <w:ind w:firstLine="480"/>
              <w:jc w:val="left"/>
              <w:rPr>
                <w:rFonts w:ascii="宋体" w:hAnsi="宋体" w:eastAsia="宋体" w:cs="宋体"/>
                <w:color w:val="000000" w:themeColor="text1"/>
                <w:sz w:val="24"/>
                <w:szCs w:val="24"/>
                <w:highlight w:val="none"/>
                <w14:textFill>
                  <w14:solidFill>
                    <w14:schemeClr w14:val="tx1"/>
                  </w14:solidFill>
                </w14:textFill>
              </w:rPr>
            </w:pPr>
          </w:p>
        </w:tc>
        <w:tc>
          <w:tcPr>
            <w:tcW w:w="1770"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C5DE896">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技工</w:t>
            </w:r>
          </w:p>
        </w:tc>
        <w:tc>
          <w:tcPr>
            <w:tcW w:w="1497" w:type="dxa"/>
            <w:gridSpan w:val="2"/>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4F2D87BC">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r w14:paraId="406D022F">
        <w:tblPrEx>
          <w:tblCellMar>
            <w:top w:w="0" w:type="dxa"/>
            <w:left w:w="0" w:type="dxa"/>
            <w:bottom w:w="0" w:type="dxa"/>
            <w:right w:w="0" w:type="dxa"/>
          </w:tblCellMar>
        </w:tblPrEx>
        <w:trPr>
          <w:gridAfter w:val="1"/>
          <w:wAfter w:w="31" w:type="dxa"/>
          <w:trHeight w:val="269"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30BA80C">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经营范围</w:t>
            </w:r>
          </w:p>
        </w:tc>
        <w:tc>
          <w:tcPr>
            <w:tcW w:w="7224" w:type="dxa"/>
            <w:gridSpan w:val="6"/>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235F07F1">
            <w:pPr>
              <w:widowControl/>
              <w:spacing w:line="360" w:lineRule="auto"/>
              <w:ind w:firstLine="400"/>
              <w:jc w:val="left"/>
              <w:rPr>
                <w:rFonts w:ascii="Times New Roman" w:hAnsi="Times New Roman" w:eastAsia="宋体" w:cs="Times New Roman"/>
                <w:color w:val="000000" w:themeColor="text1"/>
                <w:sz w:val="20"/>
                <w:szCs w:val="20"/>
                <w:highlight w:val="none"/>
                <w14:textFill>
                  <w14:solidFill>
                    <w14:schemeClr w14:val="tx1"/>
                  </w14:solidFill>
                </w14:textFill>
              </w:rPr>
            </w:pPr>
          </w:p>
        </w:tc>
      </w:tr>
      <w:tr w14:paraId="5A71E0C9">
        <w:tblPrEx>
          <w:tblCellMar>
            <w:top w:w="0" w:type="dxa"/>
            <w:left w:w="0" w:type="dxa"/>
            <w:bottom w:w="0" w:type="dxa"/>
            <w:right w:w="0" w:type="dxa"/>
          </w:tblCellMar>
        </w:tblPrEx>
        <w:trPr>
          <w:gridAfter w:val="1"/>
          <w:wAfter w:w="31" w:type="dxa"/>
          <w:trHeight w:val="185" w:hRule="atLeast"/>
          <w:jc w:val="center"/>
        </w:trPr>
        <w:tc>
          <w:tcPr>
            <w:tcW w:w="1796" w:type="dxa"/>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5699EA83">
            <w:pPr>
              <w:spacing w:line="2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备注</w:t>
            </w:r>
          </w:p>
        </w:tc>
        <w:tc>
          <w:tcPr>
            <w:tcW w:w="7224" w:type="dxa"/>
            <w:gridSpan w:val="6"/>
            <w:tcBorders>
              <w:top w:val="single" w:color="000000" w:sz="6" w:space="0"/>
              <w:left w:val="single" w:color="000000" w:sz="6" w:space="0"/>
              <w:bottom w:val="single" w:color="000000" w:sz="6" w:space="0"/>
              <w:right w:val="single" w:color="000000" w:sz="6" w:space="0"/>
            </w:tcBorders>
            <w:tcMar>
              <w:top w:w="108" w:type="dxa"/>
              <w:left w:w="108" w:type="dxa"/>
              <w:bottom w:w="108" w:type="dxa"/>
              <w:right w:w="108" w:type="dxa"/>
            </w:tcMar>
            <w:vAlign w:val="center"/>
          </w:tcPr>
          <w:p w14:paraId="743E370E">
            <w:pPr>
              <w:spacing w:line="240" w:lineRule="exact"/>
              <w:ind w:firstLine="480"/>
              <w:rPr>
                <w:rFonts w:ascii="宋体" w:hAnsi="宋体" w:eastAsia="宋体" w:cs="宋体"/>
                <w:color w:val="000000" w:themeColor="text1"/>
                <w:sz w:val="24"/>
                <w:szCs w:val="24"/>
                <w:highlight w:val="none"/>
                <w14:textFill>
                  <w14:solidFill>
                    <w14:schemeClr w14:val="tx1"/>
                  </w14:solidFill>
                </w14:textFill>
              </w:rPr>
            </w:pPr>
          </w:p>
        </w:tc>
      </w:tr>
    </w:tbl>
    <w:p w14:paraId="2B211D68">
      <w:pPr>
        <w:widowControl/>
        <w:spacing w:line="240" w:lineRule="exact"/>
        <w:ind w:firstLine="482"/>
        <w:jc w:val="left"/>
        <w:rPr>
          <w:rFonts w:ascii="宋体" w:hAnsi="宋体" w:eastAsia="宋体" w:cs="宋体"/>
          <w:b/>
          <w:bCs/>
          <w:color w:val="000000" w:themeColor="text1"/>
          <w:sz w:val="24"/>
          <w:szCs w:val="24"/>
          <w:highlight w:val="none"/>
          <w14:textFill>
            <w14:solidFill>
              <w14:schemeClr w14:val="tx1"/>
            </w14:solidFill>
          </w14:textFill>
        </w:rPr>
      </w:pPr>
    </w:p>
    <w:p w14:paraId="74710F0B">
      <w:pPr>
        <w:widowControl/>
        <w:spacing w:line="300" w:lineRule="exact"/>
        <w:ind w:firstLine="562"/>
        <w:jc w:val="left"/>
        <w:rPr>
          <w:rFonts w:ascii="黑体" w:hAnsi="黑体" w:eastAsia="黑体" w:cs="宋体"/>
          <w:b/>
          <w:bCs/>
          <w:color w:val="000000" w:themeColor="text1"/>
          <w:sz w:val="28"/>
          <w:szCs w:val="28"/>
          <w:highlight w:val="none"/>
          <w14:textFill>
            <w14:solidFill>
              <w14:schemeClr w14:val="tx1"/>
            </w14:solidFill>
          </w14:textFill>
        </w:rPr>
      </w:pPr>
    </w:p>
    <w:p w14:paraId="40050C7B">
      <w:pPr>
        <w:widowControl/>
        <w:spacing w:line="300" w:lineRule="exact"/>
        <w:ind w:firstLine="562"/>
        <w:jc w:val="left"/>
        <w:rPr>
          <w:rFonts w:ascii="黑体" w:hAnsi="黑体" w:eastAsia="黑体" w:cs="宋体"/>
          <w:b/>
          <w:bCs/>
          <w:color w:val="000000" w:themeColor="text1"/>
          <w:sz w:val="28"/>
          <w:szCs w:val="28"/>
          <w:highlight w:val="none"/>
          <w14:textFill>
            <w14:solidFill>
              <w14:schemeClr w14:val="tx1"/>
            </w14:solidFill>
          </w14:textFill>
        </w:rPr>
      </w:pPr>
    </w:p>
    <w:p w14:paraId="0341A92F">
      <w:pPr>
        <w:widowControl/>
        <w:spacing w:line="300" w:lineRule="exact"/>
        <w:ind w:firstLine="562"/>
        <w:jc w:val="left"/>
        <w:rPr>
          <w:rFonts w:ascii="黑体" w:hAnsi="黑体" w:eastAsia="黑体" w:cs="宋体"/>
          <w:b/>
          <w:bCs/>
          <w:color w:val="000000" w:themeColor="text1"/>
          <w:sz w:val="28"/>
          <w:szCs w:val="28"/>
          <w:highlight w:val="none"/>
          <w14:textFill>
            <w14:solidFill>
              <w14:schemeClr w14:val="tx1"/>
            </w14:solidFill>
          </w14:textFill>
        </w:rPr>
      </w:pPr>
    </w:p>
    <w:p w14:paraId="6001C6AF">
      <w:pPr>
        <w:widowControl/>
        <w:spacing w:line="300" w:lineRule="exact"/>
        <w:ind w:firstLine="562"/>
        <w:jc w:val="left"/>
        <w:rPr>
          <w:rFonts w:ascii="黑体" w:hAnsi="黑体" w:eastAsia="黑体" w:cs="宋体"/>
          <w:b/>
          <w:bCs/>
          <w:color w:val="000000" w:themeColor="text1"/>
          <w:sz w:val="28"/>
          <w:szCs w:val="28"/>
          <w:highlight w:val="none"/>
          <w14:textFill>
            <w14:solidFill>
              <w14:schemeClr w14:val="tx1"/>
            </w14:solidFill>
          </w14:textFill>
        </w:rPr>
      </w:pPr>
    </w:p>
    <w:p w14:paraId="275B9E53">
      <w:pPr>
        <w:spacing w:line="360" w:lineRule="auto"/>
        <w:jc w:val="center"/>
        <w:rPr>
          <w:rFonts w:ascii="黑体" w:hAnsi="Times New Roman" w:eastAsia="黑体" w:cs="Times New Roman"/>
          <w:color w:val="000000" w:themeColor="text1"/>
          <w:sz w:val="30"/>
          <w:szCs w:val="30"/>
          <w:highlight w:val="none"/>
          <w14:textFill>
            <w14:solidFill>
              <w14:schemeClr w14:val="tx1"/>
            </w14:solidFill>
          </w14:textFill>
        </w:rPr>
      </w:pPr>
    </w:p>
    <w:p w14:paraId="322318C2">
      <w:pPr>
        <w:spacing w:line="360" w:lineRule="auto"/>
        <w:jc w:val="center"/>
        <w:rPr>
          <w:rFonts w:ascii="黑体" w:hAnsi="Times New Roman" w:eastAsia="黑体" w:cs="Times New Roman"/>
          <w:color w:val="000000" w:themeColor="text1"/>
          <w:sz w:val="30"/>
          <w:szCs w:val="30"/>
          <w:highlight w:val="none"/>
          <w14:textFill>
            <w14:solidFill>
              <w14:schemeClr w14:val="tx1"/>
            </w14:solidFill>
          </w14:textFill>
        </w:rPr>
      </w:pPr>
    </w:p>
    <w:p w14:paraId="1CC5F0D1">
      <w:pPr>
        <w:spacing w:line="360" w:lineRule="auto"/>
        <w:jc w:val="center"/>
        <w:rPr>
          <w:rFonts w:ascii="黑体" w:hAnsi="Times New Roman" w:eastAsia="黑体" w:cs="Times New Roman"/>
          <w:color w:val="000000" w:themeColor="text1"/>
          <w:sz w:val="30"/>
          <w:szCs w:val="30"/>
          <w:highlight w:val="none"/>
          <w14:textFill>
            <w14:solidFill>
              <w14:schemeClr w14:val="tx1"/>
            </w14:solidFill>
          </w14:textFill>
        </w:rPr>
      </w:pPr>
    </w:p>
    <w:p w14:paraId="24C95D71">
      <w:pPr>
        <w:spacing w:line="360" w:lineRule="auto"/>
        <w:jc w:val="center"/>
        <w:rPr>
          <w:rFonts w:ascii="黑体" w:hAnsi="Times New Roman" w:eastAsia="黑体" w:cs="Times New Roman"/>
          <w:color w:val="000000" w:themeColor="text1"/>
          <w:sz w:val="30"/>
          <w:szCs w:val="30"/>
          <w:highlight w:val="none"/>
          <w14:textFill>
            <w14:solidFill>
              <w14:schemeClr w14:val="tx1"/>
            </w14:solidFill>
          </w14:textFill>
        </w:rPr>
      </w:pPr>
      <w:r>
        <w:rPr>
          <w:rFonts w:hint="eastAsia" w:ascii="黑体" w:hAnsi="Times New Roman" w:eastAsia="黑体" w:cs="Times New Roman"/>
          <w:color w:val="000000" w:themeColor="text1"/>
          <w:sz w:val="30"/>
          <w:szCs w:val="30"/>
          <w:highlight w:val="none"/>
          <w14:textFill>
            <w14:solidFill>
              <w14:schemeClr w14:val="tx1"/>
            </w14:solidFill>
          </w14:textFill>
        </w:rPr>
        <w:t>1</w:t>
      </w:r>
      <w:r>
        <w:rPr>
          <w:rFonts w:ascii="黑体" w:hAnsi="Times New Roman" w:eastAsia="黑体" w:cs="Times New Roman"/>
          <w:color w:val="000000" w:themeColor="text1"/>
          <w:sz w:val="30"/>
          <w:szCs w:val="30"/>
          <w:highlight w:val="none"/>
          <w14:textFill>
            <w14:solidFill>
              <w14:schemeClr w14:val="tx1"/>
            </w14:solidFill>
          </w14:textFill>
        </w:rPr>
        <w:t>0</w:t>
      </w:r>
      <w:r>
        <w:rPr>
          <w:rFonts w:hint="eastAsia" w:ascii="黑体" w:hAnsi="Times New Roman" w:eastAsia="黑体" w:cs="Times New Roman"/>
          <w:color w:val="000000" w:themeColor="text1"/>
          <w:sz w:val="30"/>
          <w:szCs w:val="30"/>
          <w:highlight w:val="none"/>
          <w14:textFill>
            <w14:solidFill>
              <w14:schemeClr w14:val="tx1"/>
            </w14:solidFill>
          </w14:textFill>
        </w:rPr>
        <w:t>.具备履行合同所必需的设备和专业技术能力的声明（格式）</w:t>
      </w:r>
    </w:p>
    <w:p w14:paraId="74027734">
      <w:pPr>
        <w:spacing w:line="460" w:lineRule="exact"/>
        <w:ind w:firstLine="492"/>
        <w:rPr>
          <w:rFonts w:ascii="Times New Roman" w:hAnsi="Times New Roman" w:eastAsia="宋体" w:cs="Times New Roman"/>
          <w:color w:val="000000" w:themeColor="text1"/>
          <w:szCs w:val="24"/>
          <w:highlight w:val="none"/>
          <w14:textFill>
            <w14:solidFill>
              <w14:schemeClr w14:val="tx1"/>
            </w14:solidFill>
          </w14:textFill>
        </w:rPr>
      </w:pPr>
    </w:p>
    <w:p w14:paraId="43B42034">
      <w:pPr>
        <w:widowControl/>
        <w:spacing w:line="360" w:lineRule="auto"/>
        <w:ind w:firstLine="480"/>
        <w:jc w:val="lef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(供应商名称)            </w:t>
      </w:r>
      <w:r>
        <w:rPr>
          <w:rFonts w:hint="eastAsia" w:ascii="宋体" w:hAnsi="宋体" w:eastAsia="宋体" w:cs="宋体"/>
          <w:color w:val="000000" w:themeColor="text1"/>
          <w:sz w:val="24"/>
          <w:highlight w:val="none"/>
          <w14:textFill>
            <w14:solidFill>
              <w14:schemeClr w14:val="tx1"/>
            </w14:solidFill>
          </w14:textFill>
        </w:rPr>
        <w:t xml:space="preserve">郑重声明：我单位具备履行本项采购合同所必需的设备和专业技术能力，为履行本项采购合同我单位具备如下主要设备和主要专业技术能力： </w:t>
      </w:r>
    </w:p>
    <w:p w14:paraId="7826A507">
      <w:pPr>
        <w:widowControl/>
        <w:spacing w:line="360" w:lineRule="auto"/>
        <w:ind w:firstLine="480"/>
        <w:jc w:val="lef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主要设备有：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42F72F93">
      <w:pPr>
        <w:widowControl/>
        <w:spacing w:line="360" w:lineRule="auto"/>
        <w:ind w:firstLine="480"/>
        <w:jc w:val="lef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 </w:t>
      </w:r>
    </w:p>
    <w:p w14:paraId="17C1178F">
      <w:pPr>
        <w:widowControl/>
        <w:spacing w:line="360" w:lineRule="auto"/>
        <w:ind w:firstLine="480"/>
        <w:jc w:val="left"/>
        <w:rPr>
          <w:rFonts w:ascii="宋体" w:hAnsi="宋体" w:eastAsia="宋体" w:cs="宋体"/>
          <w:color w:val="000000" w:themeColor="text1"/>
          <w:sz w:val="24"/>
          <w:highlight w:val="none"/>
          <w14:textFill>
            <w14:solidFill>
              <w14:schemeClr w14:val="tx1"/>
            </w14:solidFill>
          </w14:textFill>
        </w:rPr>
      </w:pPr>
    </w:p>
    <w:p w14:paraId="3A58A3BB">
      <w:pPr>
        <w:widowControl/>
        <w:spacing w:line="360" w:lineRule="auto"/>
        <w:ind w:firstLine="480"/>
        <w:jc w:val="left"/>
        <w:rPr>
          <w:rFonts w:ascii="宋体" w:hAnsi="宋体" w:eastAsia="宋体" w:cs="宋体"/>
          <w:color w:val="000000" w:themeColor="text1"/>
          <w:sz w:val="24"/>
          <w:highlight w:val="none"/>
          <w14:textFill>
            <w14:solidFill>
              <w14:schemeClr w14:val="tx1"/>
            </w14:solidFill>
          </w14:textFill>
        </w:rPr>
      </w:pPr>
    </w:p>
    <w:p w14:paraId="1E52DF60">
      <w:pPr>
        <w:widowControl/>
        <w:spacing w:line="360" w:lineRule="auto"/>
        <w:ind w:firstLine="480"/>
        <w:jc w:val="left"/>
        <w:rPr>
          <w:rFonts w:ascii="宋体" w:hAnsi="宋体" w:eastAsia="宋体" w:cs="宋体"/>
          <w:color w:val="000000" w:themeColor="text1"/>
          <w:sz w:val="24"/>
          <w:highlight w:val="none"/>
          <w14:textFill>
            <w14:solidFill>
              <w14:schemeClr w14:val="tx1"/>
            </w14:solidFill>
          </w14:textFill>
        </w:rPr>
      </w:pPr>
    </w:p>
    <w:p w14:paraId="2B7B8FFF">
      <w:pPr>
        <w:widowControl/>
        <w:spacing w:line="360" w:lineRule="auto"/>
        <w:ind w:firstLine="480"/>
        <w:jc w:val="left"/>
        <w:rPr>
          <w:rFonts w:ascii="宋体" w:hAnsi="宋体" w:eastAsia="宋体" w:cs="宋体"/>
          <w:color w:val="000000" w:themeColor="text1"/>
          <w:sz w:val="22"/>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声明人(公章)：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B4797AB">
      <w:pPr>
        <w:widowControl/>
        <w:spacing w:line="360" w:lineRule="auto"/>
        <w:ind w:firstLine="480"/>
        <w:jc w:val="lef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281D49C5">
      <w:pPr>
        <w:spacing w:line="460" w:lineRule="exact"/>
        <w:ind w:firstLine="732"/>
        <w:rPr>
          <w:rFonts w:ascii="Times New Roman" w:hAnsi="Times New Roman" w:eastAsia="宋体" w:cs="Times New Roman"/>
          <w:color w:val="000000" w:themeColor="text1"/>
          <w:sz w:val="24"/>
          <w:szCs w:val="24"/>
          <w:highlight w:val="none"/>
          <w14:textFill>
            <w14:solidFill>
              <w14:schemeClr w14:val="tx1"/>
            </w14:solidFill>
          </w14:textFill>
        </w:rPr>
      </w:pPr>
    </w:p>
    <w:p w14:paraId="63FD82B2">
      <w:pPr>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p>
    <w:p w14:paraId="4162C5C5">
      <w:pPr>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p>
    <w:p w14:paraId="0ACFB4F8">
      <w:pPr>
        <w:spacing w:line="360" w:lineRule="auto"/>
        <w:ind w:firstLine="5400"/>
        <w:rPr>
          <w:rFonts w:ascii="Times New Roman" w:hAnsi="Times New Roman" w:eastAsia="宋体" w:cs="Times New Roman"/>
          <w:b/>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声明人</w:t>
      </w:r>
      <w:r>
        <w:rPr>
          <w:rFonts w:hint="eastAsia" w:ascii="Times New Roman" w:hAnsi="Times New Roman" w:eastAsia="宋体" w:cs="Times New Roman"/>
          <w:b/>
          <w:color w:val="000000" w:themeColor="text1"/>
          <w:sz w:val="24"/>
          <w:szCs w:val="24"/>
          <w:highlight w:val="none"/>
          <w14:textFill>
            <w14:solidFill>
              <w14:schemeClr w14:val="tx1"/>
            </w14:solidFill>
          </w14:textFill>
        </w:rPr>
        <w:t>（公章）：</w:t>
      </w:r>
    </w:p>
    <w:p w14:paraId="5AB20BEF">
      <w:pPr>
        <w:spacing w:line="360" w:lineRule="auto"/>
        <w:ind w:firstLine="540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日期：年月日</w:t>
      </w:r>
    </w:p>
    <w:p w14:paraId="67B5381C">
      <w:pPr>
        <w:spacing w:line="460" w:lineRule="exact"/>
        <w:ind w:firstLine="482"/>
        <w:rPr>
          <w:rFonts w:ascii="Times New Roman" w:hAnsi="Times New Roman" w:eastAsia="宋体" w:cs="Times New Roman"/>
          <w:b/>
          <w:color w:val="000000" w:themeColor="text1"/>
          <w:sz w:val="24"/>
          <w:szCs w:val="24"/>
          <w:highlight w:val="none"/>
          <w14:textFill>
            <w14:solidFill>
              <w14:schemeClr w14:val="tx1"/>
            </w14:solidFill>
          </w14:textFill>
        </w:rPr>
      </w:pPr>
    </w:p>
    <w:p w14:paraId="1570E93C">
      <w:pPr>
        <w:spacing w:line="460" w:lineRule="exact"/>
        <w:ind w:firstLine="482"/>
        <w:rPr>
          <w:rFonts w:ascii="Times New Roman" w:hAnsi="Times New Roman" w:eastAsia="宋体" w:cs="Times New Roman"/>
          <w:b/>
          <w:color w:val="000000" w:themeColor="text1"/>
          <w:sz w:val="24"/>
          <w:szCs w:val="24"/>
          <w:highlight w:val="none"/>
          <w14:textFill>
            <w14:solidFill>
              <w14:schemeClr w14:val="tx1"/>
            </w14:solidFill>
          </w14:textFill>
        </w:rPr>
      </w:pPr>
    </w:p>
    <w:p w14:paraId="60EDF7D2">
      <w:pPr>
        <w:spacing w:line="500" w:lineRule="exact"/>
        <w:ind w:firstLine="480"/>
        <w:rPr>
          <w:rFonts w:ascii="宋体" w:hAnsi="宋体" w:eastAsia="宋体" w:cs="Times New Roman"/>
          <w:color w:val="000000" w:themeColor="text1"/>
          <w:sz w:val="24"/>
          <w:szCs w:val="24"/>
          <w:highlight w:val="none"/>
          <w14:textFill>
            <w14:solidFill>
              <w14:schemeClr w14:val="tx1"/>
            </w14:solidFill>
          </w14:textFill>
        </w:rPr>
      </w:pPr>
    </w:p>
    <w:p w14:paraId="664143F4">
      <w:pPr>
        <w:tabs>
          <w:tab w:val="left" w:pos="360"/>
        </w:tabs>
        <w:spacing w:line="360" w:lineRule="auto"/>
        <w:ind w:firstLine="482"/>
        <w:jc w:val="center"/>
        <w:rPr>
          <w:rFonts w:ascii="宋体" w:hAnsi="宋体" w:eastAsia="宋体" w:cs="Times New Roman"/>
          <w:b/>
          <w:color w:val="000000" w:themeColor="text1"/>
          <w:sz w:val="24"/>
          <w:szCs w:val="21"/>
          <w:highlight w:val="none"/>
          <w14:textFill>
            <w14:solidFill>
              <w14:schemeClr w14:val="tx1"/>
            </w14:solidFill>
          </w14:textFill>
        </w:rPr>
      </w:pPr>
    </w:p>
    <w:p w14:paraId="35EBAFD3">
      <w:pPr>
        <w:tabs>
          <w:tab w:val="left" w:pos="360"/>
        </w:tabs>
        <w:spacing w:line="360" w:lineRule="auto"/>
        <w:ind w:firstLine="482"/>
        <w:jc w:val="center"/>
        <w:rPr>
          <w:rFonts w:ascii="宋体" w:hAnsi="宋体" w:eastAsia="宋体" w:cs="Times New Roman"/>
          <w:b/>
          <w:color w:val="000000" w:themeColor="text1"/>
          <w:sz w:val="24"/>
          <w:szCs w:val="21"/>
          <w:highlight w:val="none"/>
          <w14:textFill>
            <w14:solidFill>
              <w14:schemeClr w14:val="tx1"/>
            </w14:solidFill>
          </w14:textFill>
        </w:rPr>
      </w:pPr>
    </w:p>
    <w:p w14:paraId="0C3EC6C5">
      <w:pPr>
        <w:tabs>
          <w:tab w:val="left" w:pos="360"/>
        </w:tabs>
        <w:spacing w:line="360" w:lineRule="auto"/>
        <w:ind w:firstLine="482"/>
        <w:jc w:val="center"/>
        <w:rPr>
          <w:rFonts w:ascii="宋体" w:hAnsi="宋体" w:eastAsia="宋体" w:cs="Times New Roman"/>
          <w:b/>
          <w:color w:val="000000" w:themeColor="text1"/>
          <w:sz w:val="24"/>
          <w:szCs w:val="21"/>
          <w:highlight w:val="none"/>
          <w14:textFill>
            <w14:solidFill>
              <w14:schemeClr w14:val="tx1"/>
            </w14:solidFill>
          </w14:textFill>
        </w:rPr>
      </w:pPr>
    </w:p>
    <w:p w14:paraId="43EA16FC">
      <w:pPr>
        <w:tabs>
          <w:tab w:val="left" w:pos="360"/>
        </w:tabs>
        <w:spacing w:line="360" w:lineRule="auto"/>
        <w:ind w:firstLine="241"/>
        <w:jc w:val="left"/>
        <w:rPr>
          <w:rFonts w:ascii="宋体" w:hAnsi="宋体" w:eastAsia="宋体" w:cs="Times New Roman"/>
          <w:b/>
          <w:color w:val="000000" w:themeColor="text1"/>
          <w:sz w:val="24"/>
          <w:szCs w:val="21"/>
          <w:highlight w:val="none"/>
          <w14:textFill>
            <w14:solidFill>
              <w14:schemeClr w14:val="tx1"/>
            </w14:solidFill>
          </w14:textFill>
        </w:rPr>
      </w:pPr>
    </w:p>
    <w:p w14:paraId="15906E89">
      <w:pPr>
        <w:rPr>
          <w:rFonts w:ascii="黑体" w:hAnsi="宋体" w:eastAsia="黑体" w:cs="Times New Roman"/>
          <w:bCs/>
          <w:color w:val="000000" w:themeColor="text1"/>
          <w:sz w:val="28"/>
          <w:szCs w:val="28"/>
          <w:highlight w:val="none"/>
          <w14:textFill>
            <w14:solidFill>
              <w14:schemeClr w14:val="tx1"/>
            </w14:solidFill>
          </w14:textFill>
        </w:rPr>
      </w:pPr>
      <w:r>
        <w:rPr>
          <w:rFonts w:hint="eastAsia" w:ascii="黑体" w:hAnsi="宋体" w:eastAsia="黑体" w:cs="Times New Roman"/>
          <w:bCs/>
          <w:color w:val="000000" w:themeColor="text1"/>
          <w:sz w:val="28"/>
          <w:szCs w:val="28"/>
          <w:highlight w:val="none"/>
          <w14:textFill>
            <w14:solidFill>
              <w14:schemeClr w14:val="tx1"/>
            </w14:solidFill>
          </w14:textFill>
        </w:rPr>
        <w:br w:type="page" w:clear="all"/>
      </w:r>
    </w:p>
    <w:p w14:paraId="04935696">
      <w:pPr>
        <w:tabs>
          <w:tab w:val="left" w:pos="360"/>
        </w:tabs>
        <w:spacing w:line="360" w:lineRule="auto"/>
        <w:ind w:firstLine="280"/>
        <w:jc w:val="left"/>
        <w:rPr>
          <w:rFonts w:ascii="黑体" w:hAnsi="宋体" w:eastAsia="黑体" w:cs="Times New Roman"/>
          <w:bCs/>
          <w:color w:val="000000" w:themeColor="text1"/>
          <w:sz w:val="28"/>
          <w:szCs w:val="28"/>
          <w:highlight w:val="none"/>
          <w14:textFill>
            <w14:solidFill>
              <w14:schemeClr w14:val="tx1"/>
            </w14:solidFill>
          </w14:textFill>
        </w:rPr>
      </w:pPr>
      <w:r>
        <w:rPr>
          <w:rFonts w:hint="eastAsia" w:ascii="黑体" w:hAnsi="宋体" w:eastAsia="黑体" w:cs="Times New Roman"/>
          <w:bCs/>
          <w:color w:val="000000" w:themeColor="text1"/>
          <w:sz w:val="28"/>
          <w:szCs w:val="28"/>
          <w:highlight w:val="none"/>
          <w14:textFill>
            <w14:solidFill>
              <w14:schemeClr w14:val="tx1"/>
            </w14:solidFill>
          </w14:textFill>
        </w:rPr>
        <w:t>1</w:t>
      </w:r>
      <w:r>
        <w:rPr>
          <w:rFonts w:ascii="黑体" w:hAnsi="宋体" w:eastAsia="黑体" w:cs="Times New Roman"/>
          <w:bCs/>
          <w:color w:val="000000" w:themeColor="text1"/>
          <w:sz w:val="28"/>
          <w:szCs w:val="28"/>
          <w:highlight w:val="none"/>
          <w14:textFill>
            <w14:solidFill>
              <w14:schemeClr w14:val="tx1"/>
            </w14:solidFill>
          </w14:textFill>
        </w:rPr>
        <w:t>1</w:t>
      </w:r>
      <w:r>
        <w:rPr>
          <w:rFonts w:hint="eastAsia" w:ascii="黑体" w:hAnsi="宋体" w:eastAsia="黑体" w:cs="Times New Roman"/>
          <w:bCs/>
          <w:color w:val="000000" w:themeColor="text1"/>
          <w:sz w:val="28"/>
          <w:szCs w:val="28"/>
          <w:highlight w:val="none"/>
          <w14:textFill>
            <w14:solidFill>
              <w14:schemeClr w14:val="tx1"/>
            </w14:solidFill>
          </w14:textFill>
        </w:rPr>
        <w:t>.参加政府采购活动前</w:t>
      </w:r>
      <w:r>
        <w:rPr>
          <w:rFonts w:ascii="黑体" w:hAnsi="宋体" w:eastAsia="黑体" w:cs="Times New Roman"/>
          <w:bCs/>
          <w:color w:val="000000" w:themeColor="text1"/>
          <w:sz w:val="28"/>
          <w:szCs w:val="28"/>
          <w:highlight w:val="none"/>
          <w14:textFill>
            <w14:solidFill>
              <w14:schemeClr w14:val="tx1"/>
            </w14:solidFill>
          </w14:textFill>
        </w:rPr>
        <w:t xml:space="preserve"> 3 </w:t>
      </w:r>
      <w:r>
        <w:rPr>
          <w:rFonts w:hint="eastAsia" w:ascii="黑体" w:hAnsi="宋体" w:eastAsia="黑体" w:cs="Times New Roman"/>
          <w:bCs/>
          <w:color w:val="000000" w:themeColor="text1"/>
          <w:sz w:val="28"/>
          <w:szCs w:val="28"/>
          <w:highlight w:val="none"/>
          <w14:textFill>
            <w14:solidFill>
              <w14:schemeClr w14:val="tx1"/>
            </w14:solidFill>
          </w14:textFill>
        </w:rPr>
        <w:t>年内在经营活动中没有重大违法记录的</w:t>
      </w:r>
    </w:p>
    <w:p w14:paraId="309C5C3D">
      <w:pPr>
        <w:tabs>
          <w:tab w:val="left" w:pos="360"/>
        </w:tabs>
        <w:spacing w:line="360" w:lineRule="auto"/>
        <w:ind w:firstLine="3780"/>
        <w:jc w:val="left"/>
        <w:rPr>
          <w:rFonts w:ascii="黑体" w:hAnsi="宋体" w:eastAsia="黑体" w:cs="Times New Roman"/>
          <w:bCs/>
          <w:color w:val="000000" w:themeColor="text1"/>
          <w:sz w:val="28"/>
          <w:szCs w:val="28"/>
          <w:highlight w:val="none"/>
          <w14:textFill>
            <w14:solidFill>
              <w14:schemeClr w14:val="tx1"/>
            </w14:solidFill>
          </w14:textFill>
        </w:rPr>
      </w:pPr>
      <w:r>
        <w:rPr>
          <w:rFonts w:hint="eastAsia" w:ascii="黑体" w:hAnsi="宋体" w:eastAsia="黑体" w:cs="Times New Roman"/>
          <w:bCs/>
          <w:color w:val="000000" w:themeColor="text1"/>
          <w:sz w:val="28"/>
          <w:szCs w:val="28"/>
          <w:highlight w:val="none"/>
          <w14:textFill>
            <w14:solidFill>
              <w14:schemeClr w14:val="tx1"/>
            </w14:solidFill>
          </w14:textFill>
        </w:rPr>
        <w:t>书面声明</w:t>
      </w:r>
    </w:p>
    <w:p w14:paraId="598903BA">
      <w:pPr>
        <w:spacing w:line="560" w:lineRule="exact"/>
        <w:rPr>
          <w:rFonts w:ascii="宋体" w:hAnsi="宋体" w:eastAsia="宋体" w:cs="Times New Roman"/>
          <w:b/>
          <w:bCs/>
          <w:color w:val="000000" w:themeColor="text1"/>
          <w:sz w:val="24"/>
          <w:szCs w:val="24"/>
          <w:highlight w:val="none"/>
          <w14:textFill>
            <w14:solidFill>
              <w14:schemeClr w14:val="tx1"/>
            </w14:solidFill>
          </w14:textFill>
        </w:rPr>
      </w:pPr>
    </w:p>
    <w:p w14:paraId="2EB0FC86">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3EA2E42E">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42EF87F1">
      <w:pPr>
        <w:spacing w:line="560" w:lineRule="exact"/>
        <w:ind w:firstLine="504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投标人（供应商）名称（</w:t>
      </w:r>
      <w:r>
        <w:rPr>
          <w:rFonts w:hint="eastAsia" w:ascii="宋体" w:hAnsi="宋体" w:eastAsia="宋体" w:cs="Times New Roman"/>
          <w:b/>
          <w:bCs/>
          <w:color w:val="000000" w:themeColor="text1"/>
          <w:sz w:val="24"/>
          <w:szCs w:val="24"/>
          <w:highlight w:val="none"/>
          <w14:textFill>
            <w14:solidFill>
              <w14:schemeClr w14:val="tx1"/>
            </w14:solidFill>
          </w14:textFill>
        </w:rPr>
        <w:t>公章）</w:t>
      </w:r>
      <w:r>
        <w:rPr>
          <w:rFonts w:hint="eastAsia" w:ascii="宋体" w:hAnsi="宋体" w:eastAsia="宋体" w:cs="Times New Roman"/>
          <w:bCs/>
          <w:color w:val="000000" w:themeColor="text1"/>
          <w:sz w:val="24"/>
          <w:szCs w:val="24"/>
          <w:highlight w:val="none"/>
          <w14:textFill>
            <w14:solidFill>
              <w14:schemeClr w14:val="tx1"/>
            </w14:solidFill>
          </w14:textFill>
        </w:rPr>
        <w:t>：</w:t>
      </w:r>
    </w:p>
    <w:p w14:paraId="305A1499">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                                   法定代表人（或授权代表）</w:t>
      </w:r>
      <w:r>
        <w:rPr>
          <w:rFonts w:hint="eastAsia" w:ascii="宋体" w:hAnsi="宋体" w:eastAsia="宋体" w:cs="Times New Roman"/>
          <w:b/>
          <w:bCs/>
          <w:color w:val="000000" w:themeColor="text1"/>
          <w:sz w:val="24"/>
          <w:szCs w:val="24"/>
          <w:highlight w:val="none"/>
          <w14:textFill>
            <w14:solidFill>
              <w14:schemeClr w14:val="tx1"/>
            </w14:solidFill>
          </w14:textFill>
        </w:rPr>
        <w:t>签字或印章：</w:t>
      </w:r>
    </w:p>
    <w:p w14:paraId="3EE6F6BB">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                                      日期：   年  月   日</w:t>
      </w:r>
    </w:p>
    <w:p w14:paraId="5F54E465">
      <w:pPr>
        <w:spacing w:line="560" w:lineRule="exact"/>
        <w:ind w:firstLine="480"/>
        <w:rPr>
          <w:rFonts w:ascii="宋体" w:hAnsi="宋体" w:eastAsia="宋体" w:cs="Times New Roman"/>
          <w:bCs/>
          <w:color w:val="000000" w:themeColor="text1"/>
          <w:sz w:val="24"/>
          <w:szCs w:val="24"/>
          <w:highlight w:val="none"/>
          <w:u w:val="single"/>
          <w14:textFill>
            <w14:solidFill>
              <w14:schemeClr w14:val="tx1"/>
            </w14:solidFill>
          </w14:textFill>
        </w:rPr>
      </w:pPr>
    </w:p>
    <w:p w14:paraId="5EBFD9FF">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31030FDF">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222DF8FC">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663E5F9B">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5101CEC2">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7B2765F4">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1B09061B">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7E7409A2">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7F7C250A">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393FF0A2">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24A2C57A">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2027DBD1">
      <w:pPr>
        <w:spacing w:line="560" w:lineRule="exact"/>
        <w:ind w:firstLine="480"/>
        <w:rPr>
          <w:rFonts w:ascii="宋体" w:hAnsi="宋体" w:eastAsia="宋体" w:cs="Times New Roman"/>
          <w:bCs/>
          <w:color w:val="000000" w:themeColor="text1"/>
          <w:sz w:val="24"/>
          <w:szCs w:val="24"/>
          <w:highlight w:val="none"/>
          <w14:textFill>
            <w14:solidFill>
              <w14:schemeClr w14:val="tx1"/>
            </w14:solidFill>
          </w14:textFill>
        </w:rPr>
      </w:pPr>
    </w:p>
    <w:p w14:paraId="46AEC2C6">
      <w:pPr>
        <w:pStyle w:val="239"/>
        <w:rPr>
          <w:color w:val="000000" w:themeColor="text1"/>
          <w:highlight w:val="none"/>
          <w14:textFill>
            <w14:solidFill>
              <w14:schemeClr w14:val="tx1"/>
            </w14:solidFill>
          </w14:textFill>
        </w:rPr>
      </w:pPr>
    </w:p>
    <w:p w14:paraId="2751C273">
      <w:pPr>
        <w:rPr>
          <w:rFonts w:ascii="方正小标宋简体" w:hAnsi="方正小标宋简体" w:eastAsia="宋体" w:cs="仿宋_GB2312"/>
          <w:b/>
          <w:color w:val="000000" w:themeColor="text1"/>
          <w:sz w:val="28"/>
          <w:szCs w:val="28"/>
          <w:highlight w:val="none"/>
          <w14:textFill>
            <w14:solidFill>
              <w14:schemeClr w14:val="tx1"/>
            </w14:solidFill>
          </w14:textFill>
        </w:rPr>
      </w:pPr>
      <w:r>
        <w:rPr>
          <w:rFonts w:hint="eastAsia" w:ascii="方正小标宋简体" w:hAnsi="方正小标宋简体" w:eastAsia="宋体" w:cs="仿宋_GB2312"/>
          <w:b/>
          <w:color w:val="000000" w:themeColor="text1"/>
          <w:sz w:val="28"/>
          <w:szCs w:val="28"/>
          <w:highlight w:val="none"/>
          <w14:textFill>
            <w14:solidFill>
              <w14:schemeClr w14:val="tx1"/>
            </w14:solidFill>
          </w14:textFill>
        </w:rPr>
        <w:br w:type="page" w:clear="all"/>
      </w:r>
    </w:p>
    <w:p w14:paraId="78E113CE">
      <w:pPr>
        <w:spacing w:after="120"/>
        <w:ind w:firstLine="829"/>
        <w:rPr>
          <w:rFonts w:ascii="方正小标宋简体" w:hAnsi="方正小标宋简体" w:eastAsia="宋体" w:cs="仿宋_GB2312"/>
          <w:b/>
          <w:color w:val="000000" w:themeColor="text1"/>
          <w:sz w:val="28"/>
          <w:szCs w:val="28"/>
          <w:highlight w:val="none"/>
          <w14:textFill>
            <w14:solidFill>
              <w14:schemeClr w14:val="tx1"/>
            </w14:solidFill>
          </w14:textFill>
        </w:rPr>
      </w:pPr>
      <w:r>
        <w:rPr>
          <w:rFonts w:hint="eastAsia" w:ascii="方正小标宋简体" w:hAnsi="方正小标宋简体" w:eastAsia="宋体" w:cs="仿宋_GB2312"/>
          <w:b/>
          <w:color w:val="000000" w:themeColor="text1"/>
          <w:sz w:val="28"/>
          <w:szCs w:val="28"/>
          <w:highlight w:val="none"/>
          <w14:textFill>
            <w14:solidFill>
              <w14:schemeClr w14:val="tx1"/>
            </w14:solidFill>
          </w14:textFill>
        </w:rPr>
        <w:t>12、财务状况报告及税收、社会保障资金缴纳情况承诺函</w:t>
      </w:r>
    </w:p>
    <w:p w14:paraId="0C9CE307">
      <w:pPr>
        <w:spacing w:line="56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u w:val="single"/>
          <w14:textFill>
            <w14:solidFill>
              <w14:schemeClr w14:val="tx1"/>
            </w14:solidFill>
          </w14:textFill>
        </w:rPr>
        <w:t xml:space="preserve">采购人名称   </w:t>
      </w:r>
    </w:p>
    <w:p w14:paraId="0A90FD5A">
      <w:pPr>
        <w:spacing w:line="560" w:lineRule="exact"/>
        <w:ind w:firstLine="48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w:t>
      </w:r>
      <w:r>
        <w:rPr>
          <w:rFonts w:hint="eastAsia" w:ascii="仿宋" w:hAnsi="仿宋" w:eastAsia="仿宋" w:cs="仿宋"/>
          <w:color w:val="000000" w:themeColor="text1"/>
          <w:sz w:val="24"/>
          <w:szCs w:val="24"/>
          <w:highlight w:val="none"/>
          <w:u w:val="single"/>
          <w14:textFill>
            <w14:solidFill>
              <w14:schemeClr w14:val="tx1"/>
            </w14:solidFill>
          </w14:textFill>
        </w:rPr>
        <w:t>供应商名称</w:t>
      </w:r>
      <w:r>
        <w:rPr>
          <w:rFonts w:hint="eastAsia" w:ascii="仿宋" w:hAnsi="仿宋" w:eastAsia="仿宋" w:cs="仿宋"/>
          <w:color w:val="000000" w:themeColor="text1"/>
          <w:sz w:val="24"/>
          <w:szCs w:val="24"/>
          <w:highlight w:val="none"/>
          <w14:textFill>
            <w14:solidFill>
              <w14:schemeClr w14:val="tx1"/>
            </w14:solidFill>
          </w14:textFill>
        </w:rPr>
        <w:t>参加</w:t>
      </w:r>
      <w:r>
        <w:rPr>
          <w:rFonts w:hint="eastAsia" w:ascii="仿宋" w:hAnsi="仿宋" w:eastAsia="仿宋" w:cs="仿宋"/>
          <w:b/>
          <w:color w:val="000000" w:themeColor="text1"/>
          <w:sz w:val="24"/>
          <w:szCs w:val="24"/>
          <w:highlight w:val="none"/>
          <w:u w:val="single"/>
          <w14:textFill>
            <w14:solidFill>
              <w14:schemeClr w14:val="tx1"/>
            </w14:solidFill>
          </w14:textFill>
        </w:rPr>
        <w:t>（项目名称）</w:t>
      </w:r>
      <w:r>
        <w:rPr>
          <w:rFonts w:hint="eastAsia" w:ascii="仿宋" w:hAnsi="仿宋" w:eastAsia="仿宋" w:cs="仿宋"/>
          <w:color w:val="000000" w:themeColor="text1"/>
          <w:sz w:val="24"/>
          <w:szCs w:val="24"/>
          <w:highlight w:val="none"/>
          <w14:textFill>
            <w14:solidFill>
              <w14:schemeClr w14:val="tx1"/>
            </w14:solidFill>
          </w14:textFill>
        </w:rPr>
        <w:t>（项目编号：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）采购，根据《</w:t>
      </w:r>
      <w:r>
        <w:rPr>
          <w:rFonts w:hint="eastAsia" w:ascii="仿宋" w:hAnsi="仿宋" w:eastAsia="仿宋" w:cs="Segoe UI"/>
          <w:bCs/>
          <w:color w:val="000000" w:themeColor="text1"/>
          <w:sz w:val="24"/>
          <w:szCs w:val="24"/>
          <w:highlight w:val="none"/>
          <w14:textFill>
            <w14:solidFill>
              <w14:schemeClr w14:val="tx1"/>
            </w14:solidFill>
          </w14:textFill>
        </w:rPr>
        <w:t>关于简化政府采购供应商资格审查有关事项的通知</w:t>
      </w:r>
      <w:r>
        <w:rPr>
          <w:rFonts w:hint="eastAsia" w:ascii="仿宋" w:hAnsi="仿宋" w:eastAsia="仿宋" w:cs="仿宋"/>
          <w:color w:val="000000" w:themeColor="text1"/>
          <w:sz w:val="24"/>
          <w:szCs w:val="24"/>
          <w:highlight w:val="none"/>
          <w14:textFill>
            <w14:solidFill>
              <w14:schemeClr w14:val="tx1"/>
            </w14:solidFill>
          </w14:textFill>
        </w:rPr>
        <w:t>》（连财购〔2023〕4号），我方承诺具备</w:t>
      </w:r>
      <w:r>
        <w:rPr>
          <w:rFonts w:hint="eastAsia" w:ascii="仿宋" w:hAnsi="仿宋" w:eastAsia="仿宋" w:cs="仿宋_GB2312"/>
          <w:color w:val="000000" w:themeColor="text1"/>
          <w:sz w:val="24"/>
          <w:szCs w:val="24"/>
          <w:highlight w:val="none"/>
          <w14:textFill>
            <w14:solidFill>
              <w14:schemeClr w14:val="tx1"/>
            </w14:solidFill>
          </w14:textFill>
        </w:rPr>
        <w:t>《中华人民共和国政府采购法》第二十二条第（二）、第（四）项，《中华人民共和国政府采购法实施条例》第十七条第（二）项规定条件的，</w:t>
      </w:r>
      <w:r>
        <w:rPr>
          <w:rFonts w:hint="eastAsia" w:ascii="仿宋" w:hAnsi="仿宋" w:eastAsia="仿宋" w:cs="仿宋"/>
          <w:color w:val="000000" w:themeColor="text1"/>
          <w:sz w:val="24"/>
          <w:szCs w:val="24"/>
          <w:highlight w:val="none"/>
          <w14:textFill>
            <w14:solidFill>
              <w14:schemeClr w14:val="tx1"/>
            </w14:solidFill>
          </w14:textFill>
        </w:rPr>
        <w:t>具体包括：</w:t>
      </w:r>
    </w:p>
    <w:p w14:paraId="3474EF1B">
      <w:pPr>
        <w:spacing w:line="560" w:lineRule="exact"/>
        <w:ind w:left="360" w:firstLine="24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（1）具有良好的商业信誉和健全的财务会计制度（财务状况报告）；</w:t>
      </w:r>
    </w:p>
    <w:p w14:paraId="74E5AEC5">
      <w:pPr>
        <w:spacing w:line="560" w:lineRule="exact"/>
        <w:ind w:left="360" w:firstLine="24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（2）有依法缴纳税收和社会保障资金的良好记录。</w:t>
      </w:r>
    </w:p>
    <w:p w14:paraId="020F2641">
      <w:pPr>
        <w:spacing w:line="560" w:lineRule="exact"/>
        <w:ind w:firstLine="480"/>
        <w:jc w:val="left"/>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我方对上述承诺的真实性负责，如有虚假，将依法承担提供虚假材料谋取中标、成交责任，同时</w:t>
      </w:r>
      <w:r>
        <w:rPr>
          <w:rFonts w:hint="eastAsia" w:ascii="仿宋" w:hAnsi="仿宋" w:eastAsia="仿宋" w:cs="宋体"/>
          <w:color w:val="000000" w:themeColor="text1"/>
          <w:sz w:val="24"/>
          <w:szCs w:val="24"/>
          <w:highlight w:val="none"/>
          <w14:textFill>
            <w14:solidFill>
              <w14:schemeClr w14:val="tx1"/>
            </w14:solidFill>
          </w14:textFill>
        </w:rPr>
        <w:t>同意有关主管部门将相关失信信息记入公共信用信息系统并在相关政府门户网站公开。</w:t>
      </w:r>
    </w:p>
    <w:p w14:paraId="568F441D">
      <w:pPr>
        <w:spacing w:line="560" w:lineRule="exact"/>
        <w:ind w:firstLine="480"/>
        <w:jc w:val="left"/>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特此承诺</w:t>
      </w:r>
    </w:p>
    <w:p w14:paraId="757155EB">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56F97E8D">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19431158">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b/>
          <w:color w:val="000000" w:themeColor="text1"/>
          <w:sz w:val="24"/>
          <w:szCs w:val="24"/>
          <w:highlight w:val="none"/>
          <w14:textFill>
            <w14:solidFill>
              <w14:schemeClr w14:val="tx1"/>
            </w14:solidFill>
          </w14:textFill>
        </w:rPr>
        <w:t>公章</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76797A14">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715B1708">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法定代表人或其委托代理人</w:t>
      </w:r>
      <w:r>
        <w:rPr>
          <w:rFonts w:hint="eastAsia" w:ascii="仿宋" w:hAnsi="仿宋" w:eastAsia="仿宋" w:cs="仿宋"/>
          <w:b/>
          <w:color w:val="000000" w:themeColor="text1"/>
          <w:sz w:val="24"/>
          <w:szCs w:val="24"/>
          <w:highlight w:val="none"/>
          <w14:textFill>
            <w14:solidFill>
              <w14:schemeClr w14:val="tx1"/>
            </w14:solidFill>
          </w14:textFill>
        </w:rPr>
        <w:t>（签名或签章）</w:t>
      </w:r>
      <w:r>
        <w:rPr>
          <w:rFonts w:hint="eastAsia" w:ascii="仿宋" w:hAnsi="仿宋" w:eastAsia="仿宋" w:cs="仿宋"/>
          <w:color w:val="000000" w:themeColor="text1"/>
          <w:sz w:val="24"/>
          <w:szCs w:val="24"/>
          <w:highlight w:val="none"/>
          <w14:textFill>
            <w14:solidFill>
              <w14:schemeClr w14:val="tx1"/>
            </w14:solidFill>
          </w14:textFill>
        </w:rPr>
        <w:t>：</w:t>
      </w:r>
    </w:p>
    <w:p w14:paraId="296BA2EA">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38A52DD6">
      <w:pPr>
        <w:spacing w:line="560" w:lineRule="exact"/>
        <w:ind w:left="360" w:firstLine="405"/>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p>
    <w:p w14:paraId="399EE178">
      <w:pPr>
        <w:spacing w:line="560" w:lineRule="exact"/>
        <w:ind w:firstLine="3592"/>
        <w:rPr>
          <w:rFonts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 </w:t>
      </w:r>
    </w:p>
    <w:p w14:paraId="791CB4F1">
      <w:pPr>
        <w:spacing w:line="520" w:lineRule="exact"/>
        <w:jc w:val="center"/>
        <w:rPr>
          <w:rFonts w:ascii="Arial" w:hAnsi="Arial" w:eastAsia="宋体" w:cs="Arial"/>
          <w:b/>
          <w:bCs/>
          <w:color w:val="000000" w:themeColor="text1"/>
          <w:sz w:val="30"/>
          <w:szCs w:val="30"/>
          <w:highlight w:val="none"/>
          <w14:textFill>
            <w14:solidFill>
              <w14:schemeClr w14:val="tx1"/>
            </w14:solidFill>
          </w14:textFill>
        </w:rPr>
      </w:pPr>
      <w:r>
        <w:rPr>
          <w:rFonts w:ascii="Arial" w:hAnsi="Arial" w:eastAsia="宋体" w:cs="Arial"/>
          <w:b/>
          <w:bCs/>
          <w:color w:val="000000" w:themeColor="text1"/>
          <w:sz w:val="30"/>
          <w:szCs w:val="30"/>
          <w:highlight w:val="none"/>
          <w14:textFill>
            <w14:solidFill>
              <w14:schemeClr w14:val="tx1"/>
            </w14:solidFill>
          </w14:textFill>
        </w:rPr>
        <w:t xml:space="preserve"> </w:t>
      </w:r>
    </w:p>
    <w:p w14:paraId="388C7A62">
      <w:pPr>
        <w:spacing w:line="560" w:lineRule="exact"/>
        <w:ind w:firstLine="3596"/>
        <w:rPr>
          <w:rFonts w:ascii="宋体" w:hAnsi="宋体" w:eastAsia="宋体" w:cs="Times New Roman"/>
          <w:b/>
          <w:bCs/>
          <w:color w:val="000000" w:themeColor="text1"/>
          <w:sz w:val="36"/>
          <w:szCs w:val="36"/>
          <w:highlight w:val="none"/>
          <w14:textFill>
            <w14:solidFill>
              <w14:schemeClr w14:val="tx1"/>
            </w14:solidFill>
          </w14:textFill>
        </w:rPr>
      </w:pPr>
    </w:p>
    <w:p w14:paraId="7718E675">
      <w:pPr>
        <w:spacing w:line="560" w:lineRule="exact"/>
        <w:ind w:firstLine="3596"/>
        <w:rPr>
          <w:rFonts w:ascii="宋体" w:hAnsi="宋体" w:eastAsia="宋体" w:cs="Times New Roman"/>
          <w:b/>
          <w:bCs/>
          <w:color w:val="000000" w:themeColor="text1"/>
          <w:sz w:val="36"/>
          <w:szCs w:val="36"/>
          <w:highlight w:val="none"/>
          <w14:textFill>
            <w14:solidFill>
              <w14:schemeClr w14:val="tx1"/>
            </w14:solidFill>
          </w14:textFill>
        </w:rPr>
      </w:pPr>
    </w:p>
    <w:p w14:paraId="62C48405">
      <w:pPr>
        <w:spacing w:line="560" w:lineRule="exact"/>
        <w:ind w:firstLine="3596"/>
        <w:rPr>
          <w:rFonts w:ascii="宋体" w:hAnsi="宋体" w:eastAsia="宋体" w:cs="Times New Roman"/>
          <w:b/>
          <w:bCs/>
          <w:color w:val="000000" w:themeColor="text1"/>
          <w:sz w:val="36"/>
          <w:szCs w:val="36"/>
          <w:highlight w:val="none"/>
          <w14:textFill>
            <w14:solidFill>
              <w14:schemeClr w14:val="tx1"/>
            </w14:solidFill>
          </w14:textFill>
        </w:rPr>
      </w:pPr>
    </w:p>
    <w:p w14:paraId="09A83A2C">
      <w:pPr>
        <w:spacing w:line="560" w:lineRule="exact"/>
        <w:ind w:firstLine="3596"/>
        <w:rPr>
          <w:rFonts w:ascii="宋体" w:hAnsi="宋体" w:eastAsia="宋体" w:cs="Times New Roman"/>
          <w:b/>
          <w:bCs/>
          <w:color w:val="000000" w:themeColor="text1"/>
          <w:sz w:val="36"/>
          <w:szCs w:val="36"/>
          <w:highlight w:val="none"/>
          <w14:textFill>
            <w14:solidFill>
              <w14:schemeClr w14:val="tx1"/>
            </w14:solidFill>
          </w14:textFill>
        </w:rPr>
      </w:pPr>
    </w:p>
    <w:p w14:paraId="33F1CB0E">
      <w:pPr>
        <w:rPr>
          <w:rFonts w:ascii="宋体" w:hAnsi="宋体" w:eastAsia="宋体" w:cs="Arial"/>
          <w:b/>
          <w:bCs/>
          <w:color w:val="000000" w:themeColor="text1"/>
          <w:sz w:val="28"/>
          <w:szCs w:val="28"/>
          <w:highlight w:val="none"/>
          <w14:textFill>
            <w14:solidFill>
              <w14:schemeClr w14:val="tx1"/>
            </w14:solidFill>
          </w14:textFill>
        </w:rPr>
      </w:pPr>
    </w:p>
    <w:p w14:paraId="1EAABBDE">
      <w:pPr>
        <w:spacing w:line="360" w:lineRule="exact"/>
        <w:ind w:firstLine="3626"/>
        <w:outlineLvl w:val="0"/>
        <w:rPr>
          <w:rFonts w:ascii="宋体" w:hAnsi="宋体" w:eastAsia="宋体" w:cs="Arial"/>
          <w:b/>
          <w:bCs/>
          <w:color w:val="000000" w:themeColor="text1"/>
          <w:sz w:val="28"/>
          <w:szCs w:val="28"/>
          <w:highlight w:val="none"/>
          <w14:textFill>
            <w14:solidFill>
              <w14:schemeClr w14:val="tx1"/>
            </w14:solidFill>
          </w14:textFill>
        </w:rPr>
      </w:pPr>
      <w:r>
        <w:rPr>
          <w:rFonts w:hint="eastAsia" w:ascii="宋体" w:hAnsi="宋体" w:eastAsia="宋体" w:cs="Arial"/>
          <w:b/>
          <w:bCs/>
          <w:color w:val="000000" w:themeColor="text1"/>
          <w:sz w:val="28"/>
          <w:szCs w:val="28"/>
          <w:highlight w:val="none"/>
          <w14:textFill>
            <w14:solidFill>
              <w14:schemeClr w14:val="tx1"/>
            </w14:solidFill>
          </w14:textFill>
        </w:rPr>
        <w:t>13、商务标</w:t>
      </w:r>
    </w:p>
    <w:p w14:paraId="6550F317">
      <w:pPr>
        <w:pStyle w:val="239"/>
        <w:rPr>
          <w:color w:val="000000" w:themeColor="text1"/>
          <w:highlight w:val="none"/>
          <w14:textFill>
            <w14:solidFill>
              <w14:schemeClr w14:val="tx1"/>
            </w14:solidFill>
          </w14:textFill>
        </w:rPr>
      </w:pPr>
    </w:p>
    <w:p w14:paraId="2382EACC">
      <w:pPr>
        <w:spacing w:line="360" w:lineRule="exact"/>
        <w:ind w:firstLine="3345"/>
        <w:outlineLvl w:val="0"/>
        <w:rPr>
          <w:rFonts w:ascii="宋体" w:hAnsi="宋体" w:eastAsia="宋体" w:cs="Arial"/>
          <w:b/>
          <w:bCs/>
          <w:color w:val="000000" w:themeColor="text1"/>
          <w:sz w:val="28"/>
          <w:szCs w:val="28"/>
          <w:highlight w:val="none"/>
          <w14:textFill>
            <w14:solidFill>
              <w14:schemeClr w14:val="tx1"/>
            </w14:solidFill>
          </w14:textFill>
        </w:rPr>
      </w:pPr>
      <w:r>
        <w:rPr>
          <w:rFonts w:hint="eastAsia" w:ascii="宋体" w:hAnsi="宋体" w:eastAsia="宋体" w:cs="Arial"/>
          <w:b/>
          <w:bCs/>
          <w:color w:val="000000" w:themeColor="text1"/>
          <w:sz w:val="28"/>
          <w:szCs w:val="28"/>
          <w:highlight w:val="none"/>
          <w14:textFill>
            <w14:solidFill>
              <w14:schemeClr w14:val="tx1"/>
            </w14:solidFill>
          </w14:textFill>
        </w:rPr>
        <w:t>13</w:t>
      </w:r>
      <w:r>
        <w:rPr>
          <w:rFonts w:ascii="宋体" w:hAnsi="宋体" w:eastAsia="宋体" w:cs="Arial"/>
          <w:b/>
          <w:bCs/>
          <w:color w:val="000000" w:themeColor="text1"/>
          <w:sz w:val="28"/>
          <w:szCs w:val="28"/>
          <w:highlight w:val="none"/>
          <w14:textFill>
            <w14:solidFill>
              <w14:schemeClr w14:val="tx1"/>
            </w14:solidFill>
          </w14:textFill>
        </w:rPr>
        <w:t>.1</w:t>
      </w:r>
      <w:r>
        <w:rPr>
          <w:rFonts w:hint="eastAsia" w:ascii="宋体" w:hAnsi="宋体" w:eastAsia="宋体" w:cs="Arial"/>
          <w:b/>
          <w:bCs/>
          <w:color w:val="000000" w:themeColor="text1"/>
          <w:sz w:val="28"/>
          <w:szCs w:val="28"/>
          <w:highlight w:val="none"/>
          <w14:textFill>
            <w14:solidFill>
              <w14:schemeClr w14:val="tx1"/>
            </w14:solidFill>
          </w14:textFill>
        </w:rPr>
        <w:t>类似业绩一览表</w:t>
      </w:r>
    </w:p>
    <w:p w14:paraId="55DB627C">
      <w:pPr>
        <w:pStyle w:val="264"/>
        <w:spacing w:line="360" w:lineRule="exact"/>
        <w:ind w:left="360" w:firstLine="0"/>
        <w:outlineLvl w:val="0"/>
        <w:rPr>
          <w:rFonts w:ascii="Arial" w:hAnsi="Arial" w:cs="Arial"/>
          <w:b/>
          <w:bCs/>
          <w:color w:val="000000" w:themeColor="text1"/>
          <w:szCs w:val="20"/>
          <w:highlight w:val="none"/>
          <w:u w:val="single"/>
          <w14:textFill>
            <w14:solidFill>
              <w14:schemeClr w14:val="tx1"/>
            </w14:solidFill>
          </w14:textFill>
        </w:rPr>
      </w:pPr>
      <w:r>
        <w:rPr>
          <w:rFonts w:hint="eastAsia" w:ascii="Arial" w:hAnsi="Arial" w:cs="Arial"/>
          <w:b/>
          <w:bCs/>
          <w:color w:val="000000" w:themeColor="text1"/>
          <w:szCs w:val="20"/>
          <w:highlight w:val="none"/>
          <w14:textFill>
            <w14:solidFill>
              <w14:schemeClr w14:val="tx1"/>
            </w14:solidFill>
          </w14:textFill>
        </w:rPr>
        <w:t>分包（采购包）名称：</w:t>
      </w:r>
      <w:r>
        <w:rPr>
          <w:rFonts w:ascii="Arial" w:hAnsi="Arial" w:cs="Arial"/>
          <w:b/>
          <w:bCs/>
          <w:color w:val="000000" w:themeColor="text1"/>
          <w:szCs w:val="20"/>
          <w:highlight w:val="none"/>
          <w:u w:val="single"/>
          <w14:textFill>
            <w14:solidFill>
              <w14:schemeClr w14:val="tx1"/>
            </w14:solidFill>
          </w14:textFill>
        </w:rPr>
        <w:t xml:space="preserve">                     </w:t>
      </w:r>
    </w:p>
    <w:p w14:paraId="3D087FAE">
      <w:pPr>
        <w:pStyle w:val="239"/>
        <w:rPr>
          <w:color w:val="000000" w:themeColor="text1"/>
          <w:highlight w:val="none"/>
          <w14:textFill>
            <w14:solidFill>
              <w14:schemeClr w14:val="tx1"/>
            </w14:solidFill>
          </w14:textFill>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673"/>
        <w:gridCol w:w="1409"/>
        <w:gridCol w:w="2096"/>
        <w:gridCol w:w="1754"/>
        <w:gridCol w:w="1301"/>
      </w:tblGrid>
      <w:tr w14:paraId="4181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vAlign w:val="center"/>
          </w:tcPr>
          <w:p w14:paraId="0541718A">
            <w:pPr>
              <w:spacing w:line="360" w:lineRule="exact"/>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序号</w:t>
            </w:r>
          </w:p>
        </w:tc>
        <w:tc>
          <w:tcPr>
            <w:tcW w:w="1673" w:type="dxa"/>
            <w:vAlign w:val="center"/>
          </w:tcPr>
          <w:p w14:paraId="48514620">
            <w:pPr>
              <w:spacing w:line="360" w:lineRule="exact"/>
              <w:ind w:firstLine="207"/>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工程名称</w:t>
            </w:r>
          </w:p>
        </w:tc>
        <w:tc>
          <w:tcPr>
            <w:tcW w:w="1409" w:type="dxa"/>
            <w:vAlign w:val="center"/>
          </w:tcPr>
          <w:p w14:paraId="2A483C1A">
            <w:pPr>
              <w:spacing w:line="360" w:lineRule="exact"/>
              <w:ind w:firstLine="103"/>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工程内容</w:t>
            </w:r>
          </w:p>
        </w:tc>
        <w:tc>
          <w:tcPr>
            <w:tcW w:w="2096" w:type="dxa"/>
            <w:vAlign w:val="center"/>
          </w:tcPr>
          <w:p w14:paraId="326925B3">
            <w:pPr>
              <w:spacing w:line="360" w:lineRule="exact"/>
              <w:ind w:firstLine="310"/>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竣工验收时间</w:t>
            </w:r>
          </w:p>
        </w:tc>
        <w:tc>
          <w:tcPr>
            <w:tcW w:w="1754" w:type="dxa"/>
            <w:vAlign w:val="center"/>
          </w:tcPr>
          <w:p w14:paraId="60EDDE57">
            <w:pPr>
              <w:spacing w:line="360" w:lineRule="exact"/>
              <w:ind w:firstLine="207"/>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建设单位</w:t>
            </w:r>
          </w:p>
          <w:p w14:paraId="0B9AF071">
            <w:pPr>
              <w:spacing w:line="360" w:lineRule="exact"/>
              <w:ind w:firstLine="413"/>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全称</w:t>
            </w:r>
          </w:p>
        </w:tc>
        <w:tc>
          <w:tcPr>
            <w:tcW w:w="1301" w:type="dxa"/>
            <w:vAlign w:val="center"/>
          </w:tcPr>
          <w:p w14:paraId="7CFC23FF">
            <w:pPr>
              <w:spacing w:line="360" w:lineRule="exact"/>
              <w:ind w:firstLine="103"/>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备注</w:t>
            </w:r>
          </w:p>
        </w:tc>
      </w:tr>
      <w:tr w14:paraId="41F0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tcPr>
          <w:p w14:paraId="73D65A03">
            <w:pPr>
              <w:spacing w:line="360" w:lineRule="exact"/>
              <w:ind w:left="284"/>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1</w:t>
            </w:r>
          </w:p>
        </w:tc>
        <w:tc>
          <w:tcPr>
            <w:tcW w:w="1673" w:type="dxa"/>
          </w:tcPr>
          <w:p w14:paraId="4C6C23BF">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409" w:type="dxa"/>
          </w:tcPr>
          <w:p w14:paraId="567927A5">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2096" w:type="dxa"/>
          </w:tcPr>
          <w:p w14:paraId="224D4871">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754" w:type="dxa"/>
          </w:tcPr>
          <w:p w14:paraId="1C285498">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301" w:type="dxa"/>
          </w:tcPr>
          <w:p w14:paraId="45861D88">
            <w:pPr>
              <w:spacing w:line="360" w:lineRule="exact"/>
              <w:jc w:val="center"/>
              <w:outlineLvl w:val="0"/>
              <w:rPr>
                <w:rFonts w:ascii="Arial" w:hAnsi="Arial" w:eastAsia="宋体" w:cs="Arial"/>
                <w:b/>
                <w:bCs/>
                <w:color w:val="000000" w:themeColor="text1"/>
                <w:szCs w:val="20"/>
                <w:highlight w:val="none"/>
                <w14:textFill>
                  <w14:solidFill>
                    <w14:schemeClr w14:val="tx1"/>
                  </w14:solidFill>
                </w14:textFill>
              </w:rPr>
            </w:pPr>
          </w:p>
        </w:tc>
      </w:tr>
      <w:tr w14:paraId="0218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15" w:type="dxa"/>
          </w:tcPr>
          <w:p w14:paraId="19B67070">
            <w:pPr>
              <w:spacing w:line="360" w:lineRule="exact"/>
              <w:ind w:left="284"/>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2</w:t>
            </w:r>
          </w:p>
        </w:tc>
        <w:tc>
          <w:tcPr>
            <w:tcW w:w="1673" w:type="dxa"/>
          </w:tcPr>
          <w:p w14:paraId="6998CCE5">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409" w:type="dxa"/>
          </w:tcPr>
          <w:p w14:paraId="55813D11">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2096" w:type="dxa"/>
          </w:tcPr>
          <w:p w14:paraId="2ECF5FA5">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754" w:type="dxa"/>
          </w:tcPr>
          <w:p w14:paraId="2CD1D704">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301" w:type="dxa"/>
          </w:tcPr>
          <w:p w14:paraId="296C0A5B">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r>
      <w:tr w14:paraId="63CE6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15" w:type="dxa"/>
          </w:tcPr>
          <w:p w14:paraId="08AAE4FF">
            <w:pPr>
              <w:spacing w:line="360" w:lineRule="exact"/>
              <w:ind w:left="284"/>
              <w:outlineLvl w:val="0"/>
              <w:rPr>
                <w:rFonts w:ascii="Arial" w:hAnsi="Arial" w:eastAsia="宋体" w:cs="Arial"/>
                <w:b/>
                <w:bCs/>
                <w:color w:val="000000" w:themeColor="text1"/>
                <w:szCs w:val="20"/>
                <w:highlight w:val="none"/>
                <w14:textFill>
                  <w14:solidFill>
                    <w14:schemeClr w14:val="tx1"/>
                  </w14:solidFill>
                </w14:textFill>
              </w:rPr>
            </w:pPr>
            <w:r>
              <w:rPr>
                <w:rFonts w:hint="eastAsia" w:ascii="Arial" w:hAnsi="Arial" w:eastAsia="宋体" w:cs="Arial"/>
                <w:b/>
                <w:bCs/>
                <w:color w:val="000000" w:themeColor="text1"/>
                <w:szCs w:val="20"/>
                <w:highlight w:val="none"/>
                <w14:textFill>
                  <w14:solidFill>
                    <w14:schemeClr w14:val="tx1"/>
                  </w14:solidFill>
                </w14:textFill>
              </w:rPr>
              <w:t>3</w:t>
            </w:r>
          </w:p>
        </w:tc>
        <w:tc>
          <w:tcPr>
            <w:tcW w:w="1673" w:type="dxa"/>
          </w:tcPr>
          <w:p w14:paraId="1F9AD024">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409" w:type="dxa"/>
          </w:tcPr>
          <w:p w14:paraId="29105783">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2096" w:type="dxa"/>
          </w:tcPr>
          <w:p w14:paraId="61D83A74">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754" w:type="dxa"/>
          </w:tcPr>
          <w:p w14:paraId="68F134B1">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301" w:type="dxa"/>
          </w:tcPr>
          <w:p w14:paraId="56471183">
            <w:pPr>
              <w:spacing w:line="360" w:lineRule="exact"/>
              <w:jc w:val="center"/>
              <w:outlineLvl w:val="0"/>
              <w:rPr>
                <w:rFonts w:ascii="Arial" w:hAnsi="Arial" w:eastAsia="宋体" w:cs="Arial"/>
                <w:b/>
                <w:bCs/>
                <w:color w:val="000000" w:themeColor="text1"/>
                <w:szCs w:val="20"/>
                <w:highlight w:val="none"/>
                <w14:textFill>
                  <w14:solidFill>
                    <w14:schemeClr w14:val="tx1"/>
                  </w14:solidFill>
                </w14:textFill>
              </w:rPr>
            </w:pPr>
          </w:p>
        </w:tc>
      </w:tr>
      <w:tr w14:paraId="4B78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tcPr>
          <w:p w14:paraId="568F6DC9">
            <w:pPr>
              <w:spacing w:line="360" w:lineRule="exact"/>
              <w:ind w:left="284"/>
              <w:jc w:val="center"/>
              <w:outlineLvl w:val="0"/>
              <w:rPr>
                <w:rFonts w:ascii="Arial" w:hAnsi="Arial" w:eastAsia="宋体" w:cs="Arial"/>
                <w:b/>
                <w:bCs/>
                <w:color w:val="000000" w:themeColor="text1"/>
                <w:szCs w:val="20"/>
                <w:highlight w:val="none"/>
                <w14:textFill>
                  <w14:solidFill>
                    <w14:schemeClr w14:val="tx1"/>
                  </w14:solidFill>
                </w14:textFill>
              </w:rPr>
            </w:pPr>
            <w:r>
              <w:rPr>
                <w:rFonts w:ascii="Arial" w:hAnsi="Arial" w:eastAsia="宋体" w:cs="Arial"/>
                <w:b/>
                <w:bCs/>
                <w:color w:val="000000" w:themeColor="text1"/>
                <w:szCs w:val="20"/>
                <w:highlight w:val="none"/>
                <w14:textFill>
                  <w14:solidFill>
                    <w14:schemeClr w14:val="tx1"/>
                  </w14:solidFill>
                </w14:textFill>
              </w:rPr>
              <w:t>…</w:t>
            </w:r>
          </w:p>
        </w:tc>
        <w:tc>
          <w:tcPr>
            <w:tcW w:w="1673" w:type="dxa"/>
          </w:tcPr>
          <w:p w14:paraId="066715AB">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409" w:type="dxa"/>
          </w:tcPr>
          <w:p w14:paraId="2C8ADEFF">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2096" w:type="dxa"/>
          </w:tcPr>
          <w:p w14:paraId="2C7C07FB">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754" w:type="dxa"/>
          </w:tcPr>
          <w:p w14:paraId="655218D5">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301" w:type="dxa"/>
          </w:tcPr>
          <w:p w14:paraId="1C830069">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r>
      <w:tr w14:paraId="7062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tcPr>
          <w:p w14:paraId="61B06E90">
            <w:pPr>
              <w:spacing w:line="360" w:lineRule="exact"/>
              <w:ind w:left="284"/>
              <w:jc w:val="center"/>
              <w:outlineLvl w:val="0"/>
              <w:rPr>
                <w:rFonts w:ascii="Arial" w:hAnsi="Arial" w:eastAsia="宋体" w:cs="Arial"/>
                <w:b/>
                <w:bCs/>
                <w:color w:val="000000" w:themeColor="text1"/>
                <w:szCs w:val="20"/>
                <w:highlight w:val="none"/>
                <w14:textFill>
                  <w14:solidFill>
                    <w14:schemeClr w14:val="tx1"/>
                  </w14:solidFill>
                </w14:textFill>
              </w:rPr>
            </w:pPr>
          </w:p>
        </w:tc>
        <w:tc>
          <w:tcPr>
            <w:tcW w:w="1673" w:type="dxa"/>
          </w:tcPr>
          <w:p w14:paraId="362B3980">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409" w:type="dxa"/>
          </w:tcPr>
          <w:p w14:paraId="0253FD70">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2096" w:type="dxa"/>
          </w:tcPr>
          <w:p w14:paraId="44295173">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754" w:type="dxa"/>
          </w:tcPr>
          <w:p w14:paraId="50E7B02F">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c>
          <w:tcPr>
            <w:tcW w:w="1301" w:type="dxa"/>
          </w:tcPr>
          <w:p w14:paraId="604C6DFC">
            <w:pPr>
              <w:spacing w:line="360" w:lineRule="exact"/>
              <w:outlineLvl w:val="0"/>
              <w:rPr>
                <w:rFonts w:ascii="Arial" w:hAnsi="Arial" w:eastAsia="宋体" w:cs="Arial"/>
                <w:b/>
                <w:bCs/>
                <w:color w:val="000000" w:themeColor="text1"/>
                <w:szCs w:val="20"/>
                <w:highlight w:val="none"/>
                <w14:textFill>
                  <w14:solidFill>
                    <w14:schemeClr w14:val="tx1"/>
                  </w14:solidFill>
                </w14:textFill>
              </w:rPr>
            </w:pPr>
          </w:p>
        </w:tc>
      </w:tr>
    </w:tbl>
    <w:p w14:paraId="0103D81C">
      <w:pPr>
        <w:spacing w:line="520" w:lineRule="exact"/>
        <w:rPr>
          <w:rFonts w:ascii="Arial" w:hAnsi="Arial" w:eastAsia="宋体" w:cs="Arial"/>
          <w:b/>
          <w:bCs/>
          <w:color w:val="000000" w:themeColor="text1"/>
          <w:sz w:val="30"/>
          <w:szCs w:val="30"/>
          <w:highlight w:val="none"/>
          <w14:textFill>
            <w14:solidFill>
              <w14:schemeClr w14:val="tx1"/>
            </w14:solidFill>
          </w14:textFill>
        </w:rPr>
      </w:pPr>
      <w:r>
        <w:rPr>
          <w:rFonts w:ascii="Arial" w:hAnsi="Arial" w:eastAsia="宋体" w:cs="Arial"/>
          <w:b/>
          <w:bCs/>
          <w:color w:val="000000" w:themeColor="text1"/>
          <w:sz w:val="30"/>
          <w:szCs w:val="30"/>
          <w:highlight w:val="none"/>
          <w14:textFill>
            <w14:solidFill>
              <w14:schemeClr w14:val="tx1"/>
            </w14:solidFill>
          </w14:textFill>
        </w:rPr>
        <w:t>附：证明材料原件扫描件</w:t>
      </w:r>
    </w:p>
    <w:p w14:paraId="6CC1DCF2">
      <w:pPr>
        <w:pStyle w:val="239"/>
        <w:rPr>
          <w:color w:val="000000" w:themeColor="text1"/>
          <w:highlight w:val="none"/>
          <w14:textFill>
            <w14:solidFill>
              <w14:schemeClr w14:val="tx1"/>
            </w14:solidFill>
          </w14:textFill>
        </w:rPr>
      </w:pPr>
    </w:p>
    <w:p w14:paraId="421F4254">
      <w:pPr>
        <w:spacing w:line="560" w:lineRule="exact"/>
        <w:ind w:firstLine="3596"/>
        <w:rPr>
          <w:rFonts w:ascii="宋体" w:hAnsi="宋体" w:eastAsia="宋体" w:cs="Times New Roman"/>
          <w:b/>
          <w:bCs/>
          <w:color w:val="000000" w:themeColor="text1"/>
          <w:sz w:val="36"/>
          <w:szCs w:val="36"/>
          <w:highlight w:val="none"/>
          <w14:textFill>
            <w14:solidFill>
              <w14:schemeClr w14:val="tx1"/>
            </w14:solidFill>
          </w14:textFill>
        </w:rPr>
      </w:pPr>
    </w:p>
    <w:p w14:paraId="08B2B154">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74F6B3E7">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0F06A52F">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4588D091">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66DAF749">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343271DC">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1BA59064">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1D8D42ED">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046D6FA0">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544242D2">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7BFBCAAF">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7279C864">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727B7B8F">
      <w:pPr>
        <w:spacing w:line="360" w:lineRule="exact"/>
        <w:ind w:firstLine="3345"/>
        <w:outlineLvl w:val="0"/>
        <w:rPr>
          <w:rFonts w:ascii="宋体" w:hAnsi="宋体" w:eastAsia="宋体" w:cs="Arial"/>
          <w:b/>
          <w:bCs/>
          <w:color w:val="000000" w:themeColor="text1"/>
          <w:sz w:val="28"/>
          <w:szCs w:val="28"/>
          <w:highlight w:val="none"/>
          <w14:textFill>
            <w14:solidFill>
              <w14:schemeClr w14:val="tx1"/>
            </w14:solidFill>
          </w14:textFill>
        </w:rPr>
      </w:pPr>
      <w:r>
        <w:rPr>
          <w:rFonts w:hint="eastAsia" w:ascii="宋体" w:hAnsi="宋体" w:eastAsia="宋体" w:cs="Arial"/>
          <w:b/>
          <w:bCs/>
          <w:color w:val="000000" w:themeColor="text1"/>
          <w:sz w:val="28"/>
          <w:szCs w:val="28"/>
          <w:highlight w:val="none"/>
          <w14:textFill>
            <w14:solidFill>
              <w14:schemeClr w14:val="tx1"/>
            </w14:solidFill>
          </w14:textFill>
        </w:rPr>
        <w:t>13</w:t>
      </w:r>
      <w:r>
        <w:rPr>
          <w:rFonts w:ascii="宋体" w:hAnsi="宋体" w:eastAsia="宋体" w:cs="Arial"/>
          <w:b/>
          <w:bCs/>
          <w:color w:val="000000" w:themeColor="text1"/>
          <w:sz w:val="28"/>
          <w:szCs w:val="28"/>
          <w:highlight w:val="none"/>
          <w14:textFill>
            <w14:solidFill>
              <w14:schemeClr w14:val="tx1"/>
            </w14:solidFill>
          </w14:textFill>
        </w:rPr>
        <w:t>.2</w:t>
      </w:r>
      <w:r>
        <w:rPr>
          <w:rFonts w:hint="eastAsia" w:ascii="宋体" w:hAnsi="宋体" w:eastAsia="宋体" w:cs="Arial"/>
          <w:b/>
          <w:bCs/>
          <w:color w:val="000000" w:themeColor="text1"/>
          <w:sz w:val="28"/>
          <w:szCs w:val="28"/>
          <w:highlight w:val="none"/>
          <w14:textFill>
            <w14:solidFill>
              <w14:schemeClr w14:val="tx1"/>
            </w14:solidFill>
          </w14:textFill>
        </w:rPr>
        <w:t>拟派项目部人员明细表</w:t>
      </w:r>
    </w:p>
    <w:p w14:paraId="12BA3574">
      <w:pPr>
        <w:pStyle w:val="239"/>
        <w:rPr>
          <w:color w:val="000000" w:themeColor="text1"/>
          <w:highlight w:val="none"/>
          <w14:textFill>
            <w14:solidFill>
              <w14:schemeClr w14:val="tx1"/>
            </w14:solidFill>
          </w14:textFill>
        </w:rPr>
      </w:pPr>
    </w:p>
    <w:p w14:paraId="63F94722">
      <w:pPr>
        <w:pStyle w:val="264"/>
        <w:spacing w:line="360" w:lineRule="exact"/>
        <w:ind w:left="360" w:firstLine="0"/>
        <w:outlineLvl w:val="0"/>
        <w:rPr>
          <w:rFonts w:ascii="Arial" w:hAnsi="Arial" w:cs="Arial"/>
          <w:b/>
          <w:bCs/>
          <w:color w:val="000000" w:themeColor="text1"/>
          <w:szCs w:val="20"/>
          <w:highlight w:val="none"/>
          <w:u w:val="single"/>
          <w14:textFill>
            <w14:solidFill>
              <w14:schemeClr w14:val="tx1"/>
            </w14:solidFill>
          </w14:textFill>
        </w:rPr>
      </w:pPr>
      <w:bookmarkStart w:id="84" w:name="OLE_LINK69"/>
      <w:bookmarkStart w:id="85" w:name="OLE_LINK70"/>
      <w:r>
        <w:rPr>
          <w:rFonts w:hint="eastAsia" w:ascii="Arial" w:hAnsi="Arial" w:cs="Arial"/>
          <w:b/>
          <w:bCs/>
          <w:color w:val="000000" w:themeColor="text1"/>
          <w:szCs w:val="20"/>
          <w:highlight w:val="none"/>
          <w14:textFill>
            <w14:solidFill>
              <w14:schemeClr w14:val="tx1"/>
            </w14:solidFill>
          </w14:textFill>
        </w:rPr>
        <w:t>分包（采购包）名称：</w:t>
      </w:r>
      <w:r>
        <w:rPr>
          <w:rFonts w:ascii="Arial" w:hAnsi="Arial" w:cs="Arial"/>
          <w:b/>
          <w:bCs/>
          <w:color w:val="000000" w:themeColor="text1"/>
          <w:szCs w:val="20"/>
          <w:highlight w:val="none"/>
          <w:u w:val="single"/>
          <w14:textFill>
            <w14:solidFill>
              <w14:schemeClr w14:val="tx1"/>
            </w14:solidFill>
          </w14:textFill>
        </w:rPr>
        <w:t xml:space="preserve">                     </w:t>
      </w:r>
      <w:bookmarkEnd w:id="84"/>
      <w:bookmarkEnd w:id="85"/>
    </w:p>
    <w:p w14:paraId="666C44B0">
      <w:pPr>
        <w:pStyle w:val="239"/>
        <w:rPr>
          <w:color w:val="000000" w:themeColor="text1"/>
          <w:highlight w:val="none"/>
          <w14:textFill>
            <w14:solidFill>
              <w14:schemeClr w14:val="tx1"/>
            </w14:solidFill>
          </w14:textFill>
        </w:rPr>
      </w:pPr>
    </w:p>
    <w:tbl>
      <w:tblPr>
        <w:tblStyle w:val="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984"/>
        <w:gridCol w:w="881"/>
        <w:gridCol w:w="2079"/>
        <w:gridCol w:w="1482"/>
        <w:gridCol w:w="2108"/>
        <w:gridCol w:w="901"/>
      </w:tblGrid>
      <w:tr w14:paraId="1C3C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vAlign w:val="center"/>
          </w:tcPr>
          <w:p w14:paraId="5CE8521C">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序号</w:t>
            </w:r>
          </w:p>
        </w:tc>
        <w:tc>
          <w:tcPr>
            <w:tcW w:w="533" w:type="pct"/>
            <w:tcBorders>
              <w:top w:val="single" w:color="auto" w:sz="4" w:space="0"/>
              <w:left w:val="single" w:color="auto" w:sz="4" w:space="0"/>
              <w:bottom w:val="single" w:color="auto" w:sz="4" w:space="0"/>
              <w:right w:val="single" w:color="auto" w:sz="4" w:space="0"/>
            </w:tcBorders>
            <w:vAlign w:val="center"/>
          </w:tcPr>
          <w:p w14:paraId="1D565098">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姓名</w:t>
            </w:r>
          </w:p>
        </w:tc>
        <w:tc>
          <w:tcPr>
            <w:tcW w:w="477" w:type="pct"/>
            <w:tcBorders>
              <w:top w:val="single" w:color="auto" w:sz="4" w:space="0"/>
              <w:left w:val="single" w:color="auto" w:sz="4" w:space="0"/>
              <w:bottom w:val="single" w:color="auto" w:sz="4" w:space="0"/>
              <w:right w:val="single" w:color="auto" w:sz="4" w:space="0"/>
            </w:tcBorders>
          </w:tcPr>
          <w:p w14:paraId="0663BF95">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性别</w:t>
            </w:r>
          </w:p>
        </w:tc>
        <w:tc>
          <w:tcPr>
            <w:tcW w:w="1126" w:type="pct"/>
            <w:tcBorders>
              <w:top w:val="single" w:color="auto" w:sz="4" w:space="0"/>
              <w:left w:val="single" w:color="auto" w:sz="4" w:space="0"/>
              <w:bottom w:val="single" w:color="auto" w:sz="4" w:space="0"/>
              <w:right w:val="single" w:color="auto" w:sz="4" w:space="0"/>
            </w:tcBorders>
            <w:vAlign w:val="center"/>
          </w:tcPr>
          <w:p w14:paraId="56540E20">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身份证号</w:t>
            </w:r>
          </w:p>
        </w:tc>
        <w:tc>
          <w:tcPr>
            <w:tcW w:w="803" w:type="pct"/>
            <w:tcBorders>
              <w:top w:val="single" w:color="auto" w:sz="4" w:space="0"/>
              <w:left w:val="single" w:color="auto" w:sz="4" w:space="0"/>
              <w:bottom w:val="single" w:color="auto" w:sz="4" w:space="0"/>
              <w:right w:val="single" w:color="auto" w:sz="4" w:space="0"/>
            </w:tcBorders>
            <w:vAlign w:val="center"/>
          </w:tcPr>
          <w:p w14:paraId="176B8570">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拟担任职务</w:t>
            </w:r>
          </w:p>
        </w:tc>
        <w:tc>
          <w:tcPr>
            <w:tcW w:w="1142" w:type="pct"/>
            <w:tcBorders>
              <w:top w:val="single" w:color="auto" w:sz="4" w:space="0"/>
              <w:left w:val="single" w:color="auto" w:sz="4" w:space="0"/>
              <w:bottom w:val="single" w:color="auto" w:sz="4" w:space="0"/>
              <w:right w:val="single" w:color="auto" w:sz="4" w:space="0"/>
            </w:tcBorders>
            <w:vAlign w:val="center"/>
          </w:tcPr>
          <w:p w14:paraId="7186372D">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执业资格证书/职称证书</w:t>
            </w:r>
          </w:p>
        </w:tc>
        <w:tc>
          <w:tcPr>
            <w:tcW w:w="488" w:type="pct"/>
            <w:tcBorders>
              <w:top w:val="single" w:color="auto" w:sz="4" w:space="0"/>
              <w:left w:val="single" w:color="auto" w:sz="4" w:space="0"/>
              <w:bottom w:val="single" w:color="auto" w:sz="4" w:space="0"/>
              <w:right w:val="single" w:color="auto" w:sz="4" w:space="0"/>
            </w:tcBorders>
            <w:vAlign w:val="center"/>
          </w:tcPr>
          <w:p w14:paraId="301D4E9E">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备注</w:t>
            </w:r>
          </w:p>
        </w:tc>
      </w:tr>
      <w:tr w14:paraId="36E6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2190FFC5">
            <w:pPr>
              <w:spacing w:line="360" w:lineRule="auto"/>
              <w:ind w:firstLine="241"/>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w:t>
            </w:r>
          </w:p>
        </w:tc>
        <w:tc>
          <w:tcPr>
            <w:tcW w:w="533" w:type="pct"/>
            <w:tcBorders>
              <w:top w:val="single" w:color="auto" w:sz="4" w:space="0"/>
              <w:left w:val="single" w:color="auto" w:sz="4" w:space="0"/>
              <w:bottom w:val="single" w:color="auto" w:sz="4" w:space="0"/>
              <w:right w:val="single" w:color="auto" w:sz="4" w:space="0"/>
            </w:tcBorders>
          </w:tcPr>
          <w:p w14:paraId="23FE44EF">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62D7DD33">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1477E36C">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vAlign w:val="center"/>
          </w:tcPr>
          <w:p w14:paraId="220076AC">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项目负责人</w:t>
            </w:r>
          </w:p>
        </w:tc>
        <w:tc>
          <w:tcPr>
            <w:tcW w:w="1142" w:type="pct"/>
            <w:tcBorders>
              <w:top w:val="single" w:color="auto" w:sz="4" w:space="0"/>
              <w:left w:val="single" w:color="auto" w:sz="4" w:space="0"/>
              <w:bottom w:val="single" w:color="auto" w:sz="4" w:space="0"/>
              <w:right w:val="single" w:color="auto" w:sz="4" w:space="0"/>
            </w:tcBorders>
          </w:tcPr>
          <w:p w14:paraId="23BE7D5F">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7EB03EAD">
            <w:pPr>
              <w:spacing w:line="360" w:lineRule="auto"/>
              <w:rPr>
                <w:rFonts w:ascii="宋体" w:hAnsi="宋体" w:cs="宋体"/>
                <w:b/>
                <w:color w:val="000000" w:themeColor="text1"/>
                <w:sz w:val="24"/>
                <w:highlight w:val="none"/>
                <w14:textFill>
                  <w14:solidFill>
                    <w14:schemeClr w14:val="tx1"/>
                  </w14:solidFill>
                </w14:textFill>
              </w:rPr>
            </w:pPr>
          </w:p>
        </w:tc>
      </w:tr>
      <w:tr w14:paraId="208F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46A7497E">
            <w:pPr>
              <w:spacing w:line="360" w:lineRule="auto"/>
              <w:ind w:firstLine="24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p>
        </w:tc>
        <w:tc>
          <w:tcPr>
            <w:tcW w:w="533" w:type="pct"/>
            <w:tcBorders>
              <w:top w:val="single" w:color="auto" w:sz="4" w:space="0"/>
              <w:left w:val="single" w:color="auto" w:sz="4" w:space="0"/>
              <w:bottom w:val="single" w:color="auto" w:sz="4" w:space="0"/>
              <w:right w:val="single" w:color="auto" w:sz="4" w:space="0"/>
            </w:tcBorders>
          </w:tcPr>
          <w:p w14:paraId="24EEFB8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33CA4ACC">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20C58934">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vAlign w:val="center"/>
          </w:tcPr>
          <w:p w14:paraId="4D7D62FE">
            <w:pPr>
              <w:pStyle w:val="24"/>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技术负责人</w:t>
            </w:r>
          </w:p>
        </w:tc>
        <w:tc>
          <w:tcPr>
            <w:tcW w:w="1142" w:type="pct"/>
            <w:tcBorders>
              <w:top w:val="single" w:color="auto" w:sz="4" w:space="0"/>
              <w:left w:val="single" w:color="auto" w:sz="4" w:space="0"/>
              <w:bottom w:val="single" w:color="auto" w:sz="4" w:space="0"/>
              <w:right w:val="single" w:color="auto" w:sz="4" w:space="0"/>
            </w:tcBorders>
          </w:tcPr>
          <w:p w14:paraId="0FE20462">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29747D8B">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0F8D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61F3C362">
            <w:pPr>
              <w:spacing w:line="360" w:lineRule="auto"/>
              <w:ind w:firstLine="24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w:t>
            </w:r>
          </w:p>
        </w:tc>
        <w:tc>
          <w:tcPr>
            <w:tcW w:w="533" w:type="pct"/>
            <w:tcBorders>
              <w:top w:val="single" w:color="auto" w:sz="4" w:space="0"/>
              <w:left w:val="single" w:color="auto" w:sz="4" w:space="0"/>
              <w:bottom w:val="single" w:color="auto" w:sz="4" w:space="0"/>
              <w:right w:val="single" w:color="auto" w:sz="4" w:space="0"/>
            </w:tcBorders>
          </w:tcPr>
          <w:p w14:paraId="78F79457">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72D8373C">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655F950B">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vAlign w:val="center"/>
          </w:tcPr>
          <w:p w14:paraId="0761F644">
            <w:pPr>
              <w:pStyle w:val="24"/>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w:t>
            </w:r>
          </w:p>
        </w:tc>
        <w:tc>
          <w:tcPr>
            <w:tcW w:w="1142" w:type="pct"/>
            <w:tcBorders>
              <w:top w:val="single" w:color="auto" w:sz="4" w:space="0"/>
              <w:left w:val="single" w:color="auto" w:sz="4" w:space="0"/>
              <w:bottom w:val="single" w:color="auto" w:sz="4" w:space="0"/>
              <w:right w:val="single" w:color="auto" w:sz="4" w:space="0"/>
            </w:tcBorders>
          </w:tcPr>
          <w:p w14:paraId="0B5070F3">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19E730D1">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21BEA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740E6F3D">
            <w:pPr>
              <w:spacing w:line="360" w:lineRule="auto"/>
              <w:ind w:firstLine="24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w:t>
            </w:r>
          </w:p>
        </w:tc>
        <w:tc>
          <w:tcPr>
            <w:tcW w:w="533" w:type="pct"/>
            <w:tcBorders>
              <w:top w:val="single" w:color="auto" w:sz="4" w:space="0"/>
              <w:left w:val="single" w:color="auto" w:sz="4" w:space="0"/>
              <w:bottom w:val="single" w:color="auto" w:sz="4" w:space="0"/>
              <w:right w:val="single" w:color="auto" w:sz="4" w:space="0"/>
            </w:tcBorders>
          </w:tcPr>
          <w:p w14:paraId="1BA115C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3C2F6CFB">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57E3246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vAlign w:val="center"/>
          </w:tcPr>
          <w:p w14:paraId="07836A85">
            <w:pPr>
              <w:pStyle w:val="24"/>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w:t>
            </w:r>
          </w:p>
        </w:tc>
        <w:tc>
          <w:tcPr>
            <w:tcW w:w="1142" w:type="pct"/>
            <w:tcBorders>
              <w:top w:val="single" w:color="auto" w:sz="4" w:space="0"/>
              <w:left w:val="single" w:color="auto" w:sz="4" w:space="0"/>
              <w:bottom w:val="single" w:color="auto" w:sz="4" w:space="0"/>
              <w:right w:val="single" w:color="auto" w:sz="4" w:space="0"/>
            </w:tcBorders>
          </w:tcPr>
          <w:p w14:paraId="4A0E94F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6C6ECAB4">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2FCC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753B0607">
            <w:pPr>
              <w:spacing w:line="360" w:lineRule="auto"/>
              <w:ind w:firstLine="24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w:t>
            </w:r>
          </w:p>
        </w:tc>
        <w:tc>
          <w:tcPr>
            <w:tcW w:w="533" w:type="pct"/>
            <w:tcBorders>
              <w:top w:val="single" w:color="auto" w:sz="4" w:space="0"/>
              <w:left w:val="single" w:color="auto" w:sz="4" w:space="0"/>
              <w:bottom w:val="single" w:color="auto" w:sz="4" w:space="0"/>
              <w:right w:val="single" w:color="auto" w:sz="4" w:space="0"/>
            </w:tcBorders>
          </w:tcPr>
          <w:p w14:paraId="7F30CF8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60E032F8">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69ABB9C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vAlign w:val="center"/>
          </w:tcPr>
          <w:p w14:paraId="75ABB436">
            <w:pPr>
              <w:pStyle w:val="24"/>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w:t>
            </w:r>
          </w:p>
        </w:tc>
        <w:tc>
          <w:tcPr>
            <w:tcW w:w="1142" w:type="pct"/>
            <w:tcBorders>
              <w:top w:val="single" w:color="auto" w:sz="4" w:space="0"/>
              <w:left w:val="single" w:color="auto" w:sz="4" w:space="0"/>
              <w:bottom w:val="single" w:color="auto" w:sz="4" w:space="0"/>
              <w:right w:val="single" w:color="auto" w:sz="4" w:space="0"/>
            </w:tcBorders>
          </w:tcPr>
          <w:p w14:paraId="4558244D">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5E913245">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5816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2C7217D6">
            <w:pPr>
              <w:spacing w:line="360" w:lineRule="auto"/>
              <w:ind w:firstLine="241"/>
              <w:rPr>
                <w:rFonts w:ascii="宋体" w:hAnsi="宋体" w:cs="宋体"/>
                <w:b/>
                <w:color w:val="000000" w:themeColor="text1"/>
                <w:sz w:val="24"/>
                <w:highlight w:val="none"/>
                <w14:textFill>
                  <w14:solidFill>
                    <w14:schemeClr w14:val="tx1"/>
                  </w14:solidFill>
                </w14:textFill>
              </w:rPr>
            </w:pPr>
          </w:p>
        </w:tc>
        <w:tc>
          <w:tcPr>
            <w:tcW w:w="533" w:type="pct"/>
            <w:tcBorders>
              <w:top w:val="single" w:color="auto" w:sz="4" w:space="0"/>
              <w:left w:val="single" w:color="auto" w:sz="4" w:space="0"/>
              <w:bottom w:val="single" w:color="auto" w:sz="4" w:space="0"/>
              <w:right w:val="single" w:color="auto" w:sz="4" w:space="0"/>
            </w:tcBorders>
          </w:tcPr>
          <w:p w14:paraId="45378CA3">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35088C9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70450FAD">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tcPr>
          <w:p w14:paraId="6BAD705C">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42" w:type="pct"/>
            <w:tcBorders>
              <w:top w:val="single" w:color="auto" w:sz="4" w:space="0"/>
              <w:left w:val="single" w:color="auto" w:sz="4" w:space="0"/>
              <w:bottom w:val="single" w:color="auto" w:sz="4" w:space="0"/>
              <w:right w:val="single" w:color="auto" w:sz="4" w:space="0"/>
            </w:tcBorders>
          </w:tcPr>
          <w:p w14:paraId="18A09E7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036BC66A">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2F80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18038C92">
            <w:pPr>
              <w:spacing w:line="360" w:lineRule="auto"/>
              <w:ind w:firstLine="241"/>
              <w:rPr>
                <w:rFonts w:ascii="宋体" w:hAnsi="宋体" w:cs="宋体"/>
                <w:b/>
                <w:color w:val="000000" w:themeColor="text1"/>
                <w:sz w:val="24"/>
                <w:highlight w:val="none"/>
                <w14:textFill>
                  <w14:solidFill>
                    <w14:schemeClr w14:val="tx1"/>
                  </w14:solidFill>
                </w14:textFill>
              </w:rPr>
            </w:pPr>
          </w:p>
        </w:tc>
        <w:tc>
          <w:tcPr>
            <w:tcW w:w="533" w:type="pct"/>
            <w:tcBorders>
              <w:top w:val="single" w:color="auto" w:sz="4" w:space="0"/>
              <w:left w:val="single" w:color="auto" w:sz="4" w:space="0"/>
              <w:bottom w:val="single" w:color="auto" w:sz="4" w:space="0"/>
              <w:right w:val="single" w:color="auto" w:sz="4" w:space="0"/>
            </w:tcBorders>
          </w:tcPr>
          <w:p w14:paraId="0B775AA3">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3546F8E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75DC57B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tcPr>
          <w:p w14:paraId="6BFD931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42" w:type="pct"/>
            <w:tcBorders>
              <w:top w:val="single" w:color="auto" w:sz="4" w:space="0"/>
              <w:left w:val="single" w:color="auto" w:sz="4" w:space="0"/>
              <w:bottom w:val="single" w:color="auto" w:sz="4" w:space="0"/>
              <w:right w:val="single" w:color="auto" w:sz="4" w:space="0"/>
            </w:tcBorders>
          </w:tcPr>
          <w:p w14:paraId="5147B687">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3821DD88">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2223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701F3628">
            <w:pPr>
              <w:spacing w:line="360" w:lineRule="auto"/>
              <w:ind w:firstLine="241"/>
              <w:rPr>
                <w:rFonts w:ascii="宋体" w:hAnsi="宋体" w:cs="宋体"/>
                <w:b/>
                <w:color w:val="000000" w:themeColor="text1"/>
                <w:sz w:val="24"/>
                <w:highlight w:val="none"/>
                <w14:textFill>
                  <w14:solidFill>
                    <w14:schemeClr w14:val="tx1"/>
                  </w14:solidFill>
                </w14:textFill>
              </w:rPr>
            </w:pPr>
          </w:p>
        </w:tc>
        <w:tc>
          <w:tcPr>
            <w:tcW w:w="533" w:type="pct"/>
            <w:tcBorders>
              <w:top w:val="single" w:color="auto" w:sz="4" w:space="0"/>
              <w:left w:val="single" w:color="auto" w:sz="4" w:space="0"/>
              <w:bottom w:val="single" w:color="auto" w:sz="4" w:space="0"/>
              <w:right w:val="single" w:color="auto" w:sz="4" w:space="0"/>
            </w:tcBorders>
          </w:tcPr>
          <w:p w14:paraId="2A4D97E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195F662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68760BD1">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tcPr>
          <w:p w14:paraId="3D795246">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42" w:type="pct"/>
            <w:tcBorders>
              <w:top w:val="single" w:color="auto" w:sz="4" w:space="0"/>
              <w:left w:val="single" w:color="auto" w:sz="4" w:space="0"/>
              <w:bottom w:val="single" w:color="auto" w:sz="4" w:space="0"/>
              <w:right w:val="single" w:color="auto" w:sz="4" w:space="0"/>
            </w:tcBorders>
          </w:tcPr>
          <w:p w14:paraId="74B7B1B2">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5D29C7CB">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2EBB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7917E6A2">
            <w:pPr>
              <w:spacing w:line="360" w:lineRule="auto"/>
              <w:ind w:firstLine="241"/>
              <w:rPr>
                <w:rFonts w:ascii="宋体" w:hAnsi="宋体" w:cs="宋体"/>
                <w:b/>
                <w:color w:val="000000" w:themeColor="text1"/>
                <w:sz w:val="24"/>
                <w:highlight w:val="none"/>
                <w14:textFill>
                  <w14:solidFill>
                    <w14:schemeClr w14:val="tx1"/>
                  </w14:solidFill>
                </w14:textFill>
              </w:rPr>
            </w:pPr>
          </w:p>
        </w:tc>
        <w:tc>
          <w:tcPr>
            <w:tcW w:w="533" w:type="pct"/>
            <w:tcBorders>
              <w:top w:val="single" w:color="auto" w:sz="4" w:space="0"/>
              <w:left w:val="single" w:color="auto" w:sz="4" w:space="0"/>
              <w:bottom w:val="single" w:color="auto" w:sz="4" w:space="0"/>
              <w:right w:val="single" w:color="auto" w:sz="4" w:space="0"/>
            </w:tcBorders>
          </w:tcPr>
          <w:p w14:paraId="5AC24E9F">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2561B645">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39AEE15B">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tcPr>
          <w:p w14:paraId="7F5738A7">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42" w:type="pct"/>
            <w:tcBorders>
              <w:top w:val="single" w:color="auto" w:sz="4" w:space="0"/>
              <w:left w:val="single" w:color="auto" w:sz="4" w:space="0"/>
              <w:bottom w:val="single" w:color="auto" w:sz="4" w:space="0"/>
              <w:right w:val="single" w:color="auto" w:sz="4" w:space="0"/>
            </w:tcBorders>
          </w:tcPr>
          <w:p w14:paraId="23EA1CFF">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3B665EA3">
            <w:pPr>
              <w:spacing w:line="360" w:lineRule="auto"/>
              <w:ind w:firstLine="482"/>
              <w:rPr>
                <w:rFonts w:ascii="宋体" w:hAnsi="宋体" w:cs="宋体"/>
                <w:b/>
                <w:color w:val="000000" w:themeColor="text1"/>
                <w:sz w:val="24"/>
                <w:highlight w:val="none"/>
                <w14:textFill>
                  <w14:solidFill>
                    <w14:schemeClr w14:val="tx1"/>
                  </w14:solidFill>
                </w14:textFill>
              </w:rPr>
            </w:pPr>
          </w:p>
        </w:tc>
      </w:tr>
      <w:tr w14:paraId="5A53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tcPr>
          <w:p w14:paraId="79DF4A37">
            <w:pPr>
              <w:spacing w:line="360" w:lineRule="auto"/>
              <w:ind w:firstLine="241"/>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p>
        </w:tc>
        <w:tc>
          <w:tcPr>
            <w:tcW w:w="533" w:type="pct"/>
            <w:tcBorders>
              <w:top w:val="single" w:color="auto" w:sz="4" w:space="0"/>
              <w:left w:val="single" w:color="auto" w:sz="4" w:space="0"/>
              <w:bottom w:val="single" w:color="auto" w:sz="4" w:space="0"/>
              <w:right w:val="single" w:color="auto" w:sz="4" w:space="0"/>
            </w:tcBorders>
          </w:tcPr>
          <w:p w14:paraId="54917F15">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77" w:type="pct"/>
            <w:tcBorders>
              <w:top w:val="single" w:color="auto" w:sz="4" w:space="0"/>
              <w:left w:val="single" w:color="auto" w:sz="4" w:space="0"/>
              <w:bottom w:val="single" w:color="auto" w:sz="4" w:space="0"/>
              <w:right w:val="single" w:color="auto" w:sz="4" w:space="0"/>
            </w:tcBorders>
          </w:tcPr>
          <w:p w14:paraId="3B6D0470">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26" w:type="pct"/>
            <w:tcBorders>
              <w:top w:val="single" w:color="auto" w:sz="4" w:space="0"/>
              <w:left w:val="single" w:color="auto" w:sz="4" w:space="0"/>
              <w:bottom w:val="single" w:color="auto" w:sz="4" w:space="0"/>
              <w:right w:val="single" w:color="auto" w:sz="4" w:space="0"/>
            </w:tcBorders>
          </w:tcPr>
          <w:p w14:paraId="1695CC48">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803" w:type="pct"/>
            <w:tcBorders>
              <w:top w:val="single" w:color="auto" w:sz="4" w:space="0"/>
              <w:left w:val="single" w:color="auto" w:sz="4" w:space="0"/>
              <w:bottom w:val="single" w:color="auto" w:sz="4" w:space="0"/>
              <w:right w:val="single" w:color="auto" w:sz="4" w:space="0"/>
            </w:tcBorders>
          </w:tcPr>
          <w:p w14:paraId="49436F3F">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1142" w:type="pct"/>
            <w:tcBorders>
              <w:top w:val="single" w:color="auto" w:sz="4" w:space="0"/>
              <w:left w:val="single" w:color="auto" w:sz="4" w:space="0"/>
              <w:bottom w:val="single" w:color="auto" w:sz="4" w:space="0"/>
              <w:right w:val="single" w:color="auto" w:sz="4" w:space="0"/>
            </w:tcBorders>
          </w:tcPr>
          <w:p w14:paraId="7EA43375">
            <w:pPr>
              <w:spacing w:line="360" w:lineRule="auto"/>
              <w:ind w:firstLine="482"/>
              <w:rPr>
                <w:rFonts w:ascii="宋体" w:hAnsi="宋体" w:cs="宋体"/>
                <w:b/>
                <w:color w:val="000000" w:themeColor="text1"/>
                <w:sz w:val="24"/>
                <w:highlight w:val="none"/>
                <w14:textFill>
                  <w14:solidFill>
                    <w14:schemeClr w14:val="tx1"/>
                  </w14:solidFill>
                </w14:textFill>
              </w:rPr>
            </w:pPr>
          </w:p>
        </w:tc>
        <w:tc>
          <w:tcPr>
            <w:tcW w:w="488" w:type="pct"/>
            <w:tcBorders>
              <w:top w:val="single" w:color="auto" w:sz="4" w:space="0"/>
              <w:left w:val="single" w:color="auto" w:sz="4" w:space="0"/>
              <w:bottom w:val="single" w:color="auto" w:sz="4" w:space="0"/>
              <w:right w:val="single" w:color="auto" w:sz="4" w:space="0"/>
            </w:tcBorders>
          </w:tcPr>
          <w:p w14:paraId="6493253F">
            <w:pPr>
              <w:spacing w:line="360" w:lineRule="auto"/>
              <w:ind w:firstLine="482"/>
              <w:rPr>
                <w:rFonts w:ascii="宋体" w:hAnsi="宋体" w:cs="宋体"/>
                <w:b/>
                <w:color w:val="000000" w:themeColor="text1"/>
                <w:sz w:val="24"/>
                <w:highlight w:val="none"/>
                <w14:textFill>
                  <w14:solidFill>
                    <w14:schemeClr w14:val="tx1"/>
                  </w14:solidFill>
                </w14:textFill>
              </w:rPr>
            </w:pPr>
          </w:p>
        </w:tc>
      </w:tr>
    </w:tbl>
    <w:p w14:paraId="051BC8C7">
      <w:pPr>
        <w:spacing w:line="48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后附证明材料原件扫描件</w:t>
      </w:r>
    </w:p>
    <w:p w14:paraId="60245B53">
      <w:pPr>
        <w:spacing w:line="400" w:lineRule="exact"/>
        <w:jc w:val="center"/>
        <w:rPr>
          <w:rFonts w:ascii="宋体" w:hAnsi="宋体" w:cs="宋体"/>
          <w:b/>
          <w:color w:val="000000" w:themeColor="text1"/>
          <w:sz w:val="28"/>
          <w:szCs w:val="30"/>
          <w:highlight w:val="none"/>
          <w14:textFill>
            <w14:solidFill>
              <w14:schemeClr w14:val="tx1"/>
            </w14:solidFill>
          </w14:textFill>
        </w:rPr>
      </w:pPr>
    </w:p>
    <w:p w14:paraId="70281782">
      <w:pPr>
        <w:spacing w:line="560" w:lineRule="exact"/>
        <w:ind w:firstLine="504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供应商（公章）：</w:t>
      </w:r>
      <w:r>
        <w:rPr>
          <w:rFonts w:hint="eastAsia" w:ascii="宋体" w:hAnsi="宋体"/>
          <w:b/>
          <w:bCs/>
          <w:color w:val="000000" w:themeColor="text1"/>
          <w:sz w:val="22"/>
          <w:szCs w:val="21"/>
          <w:highlight w:val="none"/>
          <w:u w:val="single"/>
          <w14:textFill>
            <w14:solidFill>
              <w14:schemeClr w14:val="tx1"/>
            </w14:solidFill>
          </w14:textFill>
        </w:rPr>
        <w:t xml:space="preserve">        </w:t>
      </w:r>
    </w:p>
    <w:p w14:paraId="233415CA">
      <w:pPr>
        <w:spacing w:line="5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法定代表人或授权代表签字：______</w:t>
      </w:r>
    </w:p>
    <w:p w14:paraId="2B797295">
      <w:pPr>
        <w:spacing w:line="5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   年   月   日</w:t>
      </w:r>
    </w:p>
    <w:p w14:paraId="3A654F99">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3B173504">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1A2DFC62">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17AB8AAA">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77AB8692">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p>
    <w:p w14:paraId="37B18CDA">
      <w:pPr>
        <w:spacing w:line="560" w:lineRule="exact"/>
        <w:ind w:firstLine="2873"/>
        <w:rPr>
          <w:rFonts w:ascii="宋体" w:hAnsi="宋体" w:eastAsia="宋体" w:cs="Times New Roman"/>
          <w:b/>
          <w:bCs/>
          <w:color w:val="000000" w:themeColor="text1"/>
          <w:sz w:val="36"/>
          <w:szCs w:val="36"/>
          <w:highlight w:val="none"/>
          <w14:textFill>
            <w14:solidFill>
              <w14:schemeClr w14:val="tx1"/>
            </w14:solidFill>
          </w14:textFill>
        </w:rPr>
      </w:pPr>
      <w:r>
        <w:rPr>
          <w:rFonts w:hint="eastAsia" w:ascii="宋体" w:hAnsi="宋体" w:eastAsia="宋体" w:cs="Times New Roman"/>
          <w:b/>
          <w:bCs/>
          <w:color w:val="000000" w:themeColor="text1"/>
          <w:sz w:val="36"/>
          <w:szCs w:val="36"/>
          <w:highlight w:val="none"/>
          <w14:textFill>
            <w14:solidFill>
              <w14:schemeClr w14:val="tx1"/>
            </w14:solidFill>
          </w14:textFill>
        </w:rPr>
        <w:t>14.</w:t>
      </w:r>
      <w:r>
        <w:rPr>
          <w:rFonts w:ascii="宋体" w:hAnsi="宋体" w:eastAsia="宋体" w:cs="Times New Roman"/>
          <w:b/>
          <w:bCs/>
          <w:color w:val="000000" w:themeColor="text1"/>
          <w:sz w:val="36"/>
          <w:szCs w:val="36"/>
          <w:highlight w:val="none"/>
          <w14:textFill>
            <w14:solidFill>
              <w14:schemeClr w14:val="tx1"/>
            </w14:solidFill>
          </w14:textFill>
        </w:rPr>
        <w:t xml:space="preserve"> 投标其他</w:t>
      </w:r>
      <w:r>
        <w:rPr>
          <w:rFonts w:hint="eastAsia" w:ascii="宋体" w:hAnsi="宋体" w:eastAsia="宋体" w:cs="Times New Roman"/>
          <w:b/>
          <w:bCs/>
          <w:color w:val="000000" w:themeColor="text1"/>
          <w:sz w:val="36"/>
          <w:szCs w:val="36"/>
          <w:highlight w:val="none"/>
          <w14:textFill>
            <w14:solidFill>
              <w14:schemeClr w14:val="tx1"/>
            </w14:solidFill>
          </w14:textFill>
        </w:rPr>
        <w:t>材料</w:t>
      </w:r>
    </w:p>
    <w:p w14:paraId="4E08C03C">
      <w:pPr>
        <w:spacing w:line="520" w:lineRule="exact"/>
        <w:jc w:val="center"/>
        <w:rPr>
          <w:rFonts w:ascii="宋体" w:hAnsi="宋体" w:eastAsia="宋体" w:cs="宋体"/>
          <w:b/>
          <w:bCs/>
          <w:color w:val="000000" w:themeColor="text1"/>
          <w:sz w:val="24"/>
          <w:szCs w:val="24"/>
          <w:highlight w:val="none"/>
          <w14:textFill>
            <w14:solidFill>
              <w14:schemeClr w14:val="tx1"/>
            </w14:solidFill>
          </w14:textFill>
        </w:rPr>
      </w:pPr>
    </w:p>
    <w:p w14:paraId="6E73770E">
      <w:pPr>
        <w:spacing w:line="52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初步评审及评分细则中需要提供的材料或供应商认为编制响应文件有必要提供的材料</w:t>
      </w:r>
    </w:p>
    <w:p w14:paraId="5322B692">
      <w:pPr>
        <w:spacing w:line="620" w:lineRule="atLeast"/>
        <w:jc w:val="left"/>
        <w:rPr>
          <w:rFonts w:ascii="宋体" w:hAnsi="宋体" w:eastAsia="宋体" w:cs="Times New Roman"/>
          <w:color w:val="000000" w:themeColor="text1"/>
          <w:szCs w:val="24"/>
          <w:highlight w:val="none"/>
          <w14:textFill>
            <w14:solidFill>
              <w14:schemeClr w14:val="tx1"/>
            </w14:solidFill>
          </w14:textFill>
        </w:rPr>
      </w:pPr>
    </w:p>
    <w:p w14:paraId="6DAB0C35">
      <w:pPr>
        <w:spacing w:line="620" w:lineRule="atLeast"/>
        <w:jc w:val="left"/>
        <w:rPr>
          <w:rFonts w:ascii="宋体" w:hAnsi="宋体" w:eastAsia="宋体" w:cs="Times New Roman"/>
          <w:b/>
          <w:color w:val="000000" w:themeColor="text1"/>
          <w:szCs w:val="24"/>
          <w:highlight w:val="none"/>
          <w14:textFill>
            <w14:solidFill>
              <w14:schemeClr w14:val="tx1"/>
            </w14:solidFill>
          </w14:textFill>
        </w:rPr>
      </w:pPr>
      <w:r>
        <w:rPr>
          <w:rFonts w:hint="eastAsia" w:ascii="宋体" w:hAnsi="宋体" w:eastAsia="宋体" w:cs="Times New Roman"/>
          <w:b/>
          <w:color w:val="000000" w:themeColor="text1"/>
          <w:szCs w:val="24"/>
          <w:highlight w:val="none"/>
          <w14:textFill>
            <w14:solidFill>
              <w14:schemeClr w14:val="tx1"/>
            </w14:solidFill>
          </w14:textFill>
        </w:rPr>
        <w:t>注：本采购项目与初步评审及评标相关的证明文件均需提供原件扫描件（采购文件另有要求除外），证明材料需齐全并能清晰辨认并在有效期，且必须能清晰的表明需要明示的内容，否则由此引起后果自行承担。</w:t>
      </w:r>
    </w:p>
    <w:bookmarkEnd w:id="78"/>
    <w:bookmarkEnd w:id="79"/>
    <w:bookmarkEnd w:id="80"/>
    <w:bookmarkEnd w:id="81"/>
    <w:bookmarkEnd w:id="82"/>
    <w:p w14:paraId="511D375D">
      <w:pPr>
        <w:spacing w:line="620" w:lineRule="atLeast"/>
        <w:jc w:val="left"/>
        <w:rPr>
          <w:rFonts w:ascii="宋体" w:hAnsi="宋体" w:eastAsia="宋体" w:cs="Times New Roman"/>
          <w:b/>
          <w:color w:val="000000" w:themeColor="text1"/>
          <w:szCs w:val="24"/>
          <w:highlight w:val="none"/>
          <w14:textFill>
            <w14:solidFill>
              <w14:schemeClr w14:val="tx1"/>
            </w14:solidFill>
          </w14:textFill>
        </w:rPr>
      </w:pPr>
    </w:p>
    <w:p w14:paraId="2FE5094E">
      <w:pPr>
        <w:spacing w:line="620" w:lineRule="atLeast"/>
        <w:jc w:val="left"/>
        <w:rPr>
          <w:rFonts w:ascii="宋体" w:hAnsi="宋体" w:eastAsia="宋体" w:cs="Times New Roman"/>
          <w:b/>
          <w:color w:val="000000" w:themeColor="text1"/>
          <w:szCs w:val="24"/>
          <w:highlight w:val="none"/>
          <w14:textFill>
            <w14:solidFill>
              <w14:schemeClr w14:val="tx1"/>
            </w14:solidFill>
          </w14:textFill>
        </w:rPr>
      </w:pPr>
    </w:p>
    <w:p w14:paraId="7E302565">
      <w:pPr>
        <w:rPr>
          <w:rFonts w:ascii="Times New Roman" w:hAnsi="Times New Roman" w:eastAsia="宋体" w:cs="Times New Roman"/>
          <w:color w:val="000000" w:themeColor="text1"/>
          <w:highlight w:val="none"/>
          <w14:textFill>
            <w14:solidFill>
              <w14:schemeClr w14:val="tx1"/>
            </w14:solidFill>
          </w14:textFill>
        </w:rPr>
      </w:pPr>
    </w:p>
    <w:p w14:paraId="45497AC2">
      <w:pPr>
        <w:rPr>
          <w:rFonts w:ascii="Times New Roman" w:hAnsi="Times New Roman" w:eastAsia="宋体" w:cs="Times New Roman"/>
          <w:color w:val="000000" w:themeColor="text1"/>
          <w:highlight w:val="none"/>
          <w14:textFill>
            <w14:solidFill>
              <w14:schemeClr w14:val="tx1"/>
            </w14:solidFill>
          </w14:textFill>
        </w:rPr>
      </w:pPr>
    </w:p>
    <w:p w14:paraId="497DCDBF">
      <w:pPr>
        <w:rPr>
          <w:rFonts w:ascii="Times New Roman" w:hAnsi="Times New Roman" w:eastAsia="宋体" w:cs="Times New Roman"/>
          <w:color w:val="000000" w:themeColor="text1"/>
          <w:highlight w:val="none"/>
          <w14:textFill>
            <w14:solidFill>
              <w14:schemeClr w14:val="tx1"/>
            </w14:solidFill>
          </w14:textFill>
        </w:rPr>
      </w:pPr>
    </w:p>
    <w:p w14:paraId="3EDD5600">
      <w:pPr>
        <w:rPr>
          <w:rFonts w:ascii="Times New Roman" w:hAnsi="Times New Roman" w:eastAsia="宋体" w:cs="Times New Roman"/>
          <w:color w:val="000000" w:themeColor="text1"/>
          <w:highlight w:val="none"/>
          <w14:textFill>
            <w14:solidFill>
              <w14:schemeClr w14:val="tx1"/>
            </w14:solidFill>
          </w14:textFill>
        </w:rPr>
      </w:pPr>
    </w:p>
    <w:p w14:paraId="37A63E05">
      <w:pPr>
        <w:rPr>
          <w:rFonts w:ascii="Times New Roman" w:hAnsi="Times New Roman" w:eastAsia="宋体" w:cs="Times New Roman"/>
          <w:color w:val="000000" w:themeColor="text1"/>
          <w:highlight w:val="none"/>
          <w14:textFill>
            <w14:solidFill>
              <w14:schemeClr w14:val="tx1"/>
            </w14:solidFill>
          </w14:textFill>
        </w:rPr>
      </w:pPr>
    </w:p>
    <w:p w14:paraId="666D9D7F">
      <w:pPr>
        <w:rPr>
          <w:rFonts w:ascii="Times New Roman" w:hAnsi="Times New Roman" w:eastAsia="宋体" w:cs="Times New Roman"/>
          <w:color w:val="000000" w:themeColor="text1"/>
          <w:highlight w:val="none"/>
          <w14:textFill>
            <w14:solidFill>
              <w14:schemeClr w14:val="tx1"/>
            </w14:solidFill>
          </w14:textFill>
        </w:rPr>
      </w:pPr>
    </w:p>
    <w:p w14:paraId="7EE05DF8">
      <w:pPr>
        <w:rPr>
          <w:rFonts w:ascii="Times New Roman" w:hAnsi="Times New Roman" w:eastAsia="宋体" w:cs="Times New Roman"/>
          <w:color w:val="000000" w:themeColor="text1"/>
          <w:highlight w:val="none"/>
          <w14:textFill>
            <w14:solidFill>
              <w14:schemeClr w14:val="tx1"/>
            </w14:solidFill>
          </w14:textFill>
        </w:rPr>
      </w:pPr>
    </w:p>
    <w:p w14:paraId="7397A86E">
      <w:pPr>
        <w:rPr>
          <w:rFonts w:ascii="Times New Roman" w:hAnsi="Times New Roman" w:eastAsia="宋体" w:cs="Times New Roman"/>
          <w:color w:val="000000" w:themeColor="text1"/>
          <w:highlight w:val="none"/>
          <w14:textFill>
            <w14:solidFill>
              <w14:schemeClr w14:val="tx1"/>
            </w14:solidFill>
          </w14:textFill>
        </w:rPr>
      </w:pPr>
    </w:p>
    <w:p w14:paraId="73468D12">
      <w:pPr>
        <w:rPr>
          <w:rFonts w:ascii="Times New Roman" w:hAnsi="Times New Roman" w:eastAsia="宋体" w:cs="Times New Roman"/>
          <w:color w:val="000000" w:themeColor="text1"/>
          <w:highlight w:val="none"/>
          <w14:textFill>
            <w14:solidFill>
              <w14:schemeClr w14:val="tx1"/>
            </w14:solidFill>
          </w14:textFill>
        </w:rPr>
      </w:pPr>
    </w:p>
    <w:bookmarkEnd w:id="48"/>
    <w:bookmarkEnd w:id="49"/>
    <w:bookmarkEnd w:id="50"/>
    <w:bookmarkEnd w:id="51"/>
    <w:bookmarkEnd w:id="52"/>
    <w:bookmarkEnd w:id="53"/>
    <w:bookmarkEnd w:id="54"/>
    <w:bookmarkEnd w:id="55"/>
    <w:bookmarkEnd w:id="56"/>
    <w:bookmarkEnd w:id="57"/>
    <w:p w14:paraId="66D02973">
      <w:pPr>
        <w:rPr>
          <w:rFonts w:ascii="Times New Roman" w:hAnsi="Times New Roman" w:eastAsia="宋体" w:cs="Times New Roman"/>
          <w:color w:val="000000" w:themeColor="text1"/>
          <w:highlight w:val="none"/>
          <w14:textFill>
            <w14:solidFill>
              <w14:schemeClr w14:val="tx1"/>
            </w14:solidFill>
          </w14:textFill>
        </w:rPr>
      </w:pPr>
    </w:p>
    <w:p w14:paraId="4BF72786">
      <w:pPr>
        <w:rPr>
          <w:rFonts w:ascii="Times New Roman" w:hAnsi="Times New Roman" w:eastAsia="宋体" w:cs="Times New Roman"/>
          <w:color w:val="000000" w:themeColor="text1"/>
          <w:highlight w:val="none"/>
          <w14:textFill>
            <w14:solidFill>
              <w14:schemeClr w14:val="tx1"/>
            </w14:solidFill>
          </w14:textFill>
        </w:rPr>
      </w:pPr>
    </w:p>
    <w:p w14:paraId="000579E1">
      <w:pPr>
        <w:rPr>
          <w:rFonts w:ascii="Times New Roman" w:hAnsi="Times New Roman" w:eastAsia="宋体" w:cs="Times New Roman"/>
          <w:color w:val="000000" w:themeColor="text1"/>
          <w:highlight w:val="none"/>
          <w14:textFill>
            <w14:solidFill>
              <w14:schemeClr w14:val="tx1"/>
            </w14:solidFill>
          </w14:textFill>
        </w:rPr>
      </w:pPr>
    </w:p>
    <w:p w14:paraId="070A54B0">
      <w:pPr>
        <w:rPr>
          <w:color w:val="000000" w:themeColor="text1"/>
          <w:highlight w:val="none"/>
          <w14:textFill>
            <w14:solidFill>
              <w14:schemeClr w14:val="tx1"/>
            </w14:solidFill>
          </w14:textFill>
        </w:rPr>
      </w:pPr>
    </w:p>
    <w:p w14:paraId="26206529">
      <w:pPr>
        <w:rPr>
          <w:color w:val="000000" w:themeColor="text1"/>
          <w:highlight w:val="none"/>
          <w14:textFill>
            <w14:solidFill>
              <w14:schemeClr w14:val="tx1"/>
            </w14:solidFill>
          </w14:textFill>
        </w:rPr>
      </w:pPr>
    </w:p>
    <w:p w14:paraId="202D9BF8">
      <w:pPr>
        <w:rPr>
          <w:color w:val="000000" w:themeColor="text1"/>
          <w:highlight w:val="none"/>
          <w14:textFill>
            <w14:solidFill>
              <w14:schemeClr w14:val="tx1"/>
            </w14:solidFill>
          </w14:textFill>
        </w:rPr>
      </w:pPr>
    </w:p>
    <w:p w14:paraId="6D5793BF">
      <w:pPr>
        <w:rPr>
          <w:color w:val="000000" w:themeColor="text1"/>
          <w:highlight w:val="none"/>
          <w14:textFill>
            <w14:solidFill>
              <w14:schemeClr w14:val="tx1"/>
            </w14:solidFill>
          </w14:textFill>
        </w:rPr>
      </w:pPr>
    </w:p>
    <w:p w14:paraId="07D0059C">
      <w:pPr>
        <w:rPr>
          <w:color w:val="000000" w:themeColor="text1"/>
          <w:highlight w:val="none"/>
          <w14:textFill>
            <w14:solidFill>
              <w14:schemeClr w14:val="tx1"/>
            </w14:solidFill>
          </w14:textFill>
        </w:rPr>
      </w:pPr>
    </w:p>
    <w:p w14:paraId="556AC28F">
      <w:pPr>
        <w:rPr>
          <w:color w:val="000000" w:themeColor="text1"/>
          <w:highlight w:val="none"/>
          <w14:textFill>
            <w14:solidFill>
              <w14:schemeClr w14:val="tx1"/>
            </w14:solidFill>
          </w14:textFill>
        </w:rPr>
      </w:pPr>
    </w:p>
    <w:p w14:paraId="1E632E9F">
      <w:pPr>
        <w:rPr>
          <w:color w:val="000000" w:themeColor="text1"/>
          <w:highlight w:val="none"/>
          <w14:textFill>
            <w14:solidFill>
              <w14:schemeClr w14:val="tx1"/>
            </w14:solidFill>
          </w14:textFill>
        </w:rPr>
      </w:pPr>
    </w:p>
    <w:p w14:paraId="0F709C05">
      <w:pPr>
        <w:rPr>
          <w:color w:val="000000" w:themeColor="text1"/>
          <w:highlight w:val="none"/>
          <w14:textFill>
            <w14:solidFill>
              <w14:schemeClr w14:val="tx1"/>
            </w14:solidFill>
          </w14:textFill>
        </w:rPr>
      </w:pPr>
    </w:p>
    <w:p w14:paraId="64788A26">
      <w:pPr>
        <w:rPr>
          <w:color w:val="000000" w:themeColor="text1"/>
          <w:highlight w:val="none"/>
          <w14:textFill>
            <w14:solidFill>
              <w14:schemeClr w14:val="tx1"/>
            </w14:solidFill>
          </w14:textFill>
        </w:rPr>
      </w:pPr>
    </w:p>
    <w:p w14:paraId="77B5AC9D">
      <w:pPr>
        <w:rPr>
          <w:color w:val="000000" w:themeColor="text1"/>
          <w:highlight w:val="none"/>
          <w14:textFill>
            <w14:solidFill>
              <w14:schemeClr w14:val="tx1"/>
            </w14:solidFill>
          </w14:textFill>
        </w:rPr>
      </w:pPr>
    </w:p>
    <w:p w14:paraId="5ECD8086">
      <w:pPr>
        <w:rPr>
          <w:color w:val="000000" w:themeColor="text1"/>
          <w:highlight w:val="none"/>
          <w14:textFill>
            <w14:solidFill>
              <w14:schemeClr w14:val="tx1"/>
            </w14:solidFill>
          </w14:textFill>
        </w:rPr>
      </w:pPr>
    </w:p>
    <w:p w14:paraId="4BA69F37">
      <w:pPr>
        <w:rPr>
          <w:color w:val="000000" w:themeColor="text1"/>
          <w:highlight w:val="none"/>
          <w14:textFill>
            <w14:solidFill>
              <w14:schemeClr w14:val="tx1"/>
            </w14:solidFill>
          </w14:textFill>
        </w:rPr>
      </w:pPr>
    </w:p>
    <w:p w14:paraId="77EF4538">
      <w:pPr>
        <w:tabs>
          <w:tab w:val="left" w:pos="2890"/>
        </w:tabs>
        <w:jc w:val="left"/>
        <w:rPr>
          <w:rFonts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ab/>
      </w:r>
    </w:p>
    <w:p w14:paraId="1B436FD3">
      <w:pPr>
        <w:tabs>
          <w:tab w:val="left" w:pos="2890"/>
        </w:tabs>
        <w:jc w:val="left"/>
        <w:rPr>
          <w:rFonts w:eastAsia="宋体"/>
          <w:color w:val="000000" w:themeColor="text1"/>
          <w:highlight w:val="none"/>
          <w14:textFill>
            <w14:solidFill>
              <w14:schemeClr w14:val="tx1"/>
            </w14:solidFill>
          </w14:textFill>
        </w:rPr>
      </w:pPr>
    </w:p>
    <w:p w14:paraId="46D29FDA">
      <w:pPr>
        <w:tabs>
          <w:tab w:val="left" w:pos="2890"/>
        </w:tabs>
        <w:jc w:val="left"/>
        <w:rPr>
          <w:rFonts w:eastAsia="宋体"/>
          <w:color w:val="000000" w:themeColor="text1"/>
          <w:highlight w:val="none"/>
          <w14:textFill>
            <w14:solidFill>
              <w14:schemeClr w14:val="tx1"/>
            </w14:solidFill>
          </w14:textFill>
        </w:rPr>
      </w:pPr>
    </w:p>
    <w:p w14:paraId="79C053ED">
      <w:pPr>
        <w:tabs>
          <w:tab w:val="left" w:pos="2890"/>
        </w:tabs>
        <w:jc w:val="left"/>
        <w:rPr>
          <w:rFonts w:eastAsia="宋体"/>
          <w:color w:val="000000" w:themeColor="text1"/>
          <w:highlight w:val="none"/>
          <w14:textFill>
            <w14:solidFill>
              <w14:schemeClr w14:val="tx1"/>
            </w14:solidFill>
          </w14:textFill>
        </w:rPr>
      </w:pPr>
    </w:p>
    <w:p w14:paraId="2FC4B0D9">
      <w:pPr>
        <w:tabs>
          <w:tab w:val="left" w:pos="2890"/>
        </w:tabs>
        <w:jc w:val="left"/>
        <w:rPr>
          <w:rFonts w:eastAsia="宋体"/>
          <w:color w:val="000000" w:themeColor="text1"/>
          <w:highlight w:val="none"/>
          <w14:textFill>
            <w14:solidFill>
              <w14:schemeClr w14:val="tx1"/>
            </w14:solidFill>
          </w14:textFill>
        </w:rPr>
      </w:pPr>
    </w:p>
    <w:p w14:paraId="4495EE8F">
      <w:pPr>
        <w:tabs>
          <w:tab w:val="left" w:pos="2890"/>
        </w:tabs>
        <w:jc w:val="left"/>
        <w:rPr>
          <w:rFonts w:eastAsia="宋体"/>
          <w:color w:val="000000" w:themeColor="text1"/>
          <w:highlight w:val="none"/>
          <w14:textFill>
            <w14:solidFill>
              <w14:schemeClr w14:val="tx1"/>
            </w14:solidFill>
          </w14:textFill>
        </w:rPr>
      </w:pPr>
    </w:p>
    <w:p w14:paraId="3F871A33">
      <w:pPr>
        <w:tabs>
          <w:tab w:val="left" w:pos="2890"/>
        </w:tabs>
        <w:jc w:val="left"/>
        <w:rPr>
          <w:rFonts w:eastAsia="宋体"/>
          <w:color w:val="000000" w:themeColor="text1"/>
          <w:highlight w:val="none"/>
          <w14:textFill>
            <w14:solidFill>
              <w14:schemeClr w14:val="tx1"/>
            </w14:solidFill>
          </w14:textFill>
        </w:rPr>
      </w:pPr>
    </w:p>
    <w:p w14:paraId="226AF9AF">
      <w:pPr>
        <w:tabs>
          <w:tab w:val="left" w:pos="2890"/>
        </w:tabs>
        <w:jc w:val="left"/>
        <w:rPr>
          <w:rFonts w:eastAsia="宋体"/>
          <w:color w:val="000000" w:themeColor="text1"/>
          <w:highlight w:val="none"/>
          <w14:textFill>
            <w14:solidFill>
              <w14:schemeClr w14:val="tx1"/>
            </w14:solidFill>
          </w14:textFill>
        </w:rPr>
      </w:pPr>
    </w:p>
    <w:p w14:paraId="2DAFB165">
      <w:pPr>
        <w:tabs>
          <w:tab w:val="left" w:pos="2890"/>
        </w:tabs>
        <w:jc w:val="left"/>
        <w:rPr>
          <w:rFonts w:eastAsia="宋体"/>
          <w:color w:val="000000" w:themeColor="text1"/>
          <w:highlight w:val="none"/>
          <w14:textFill>
            <w14:solidFill>
              <w14:schemeClr w14:val="tx1"/>
            </w14:solidFill>
          </w14:textFill>
        </w:rPr>
      </w:pPr>
    </w:p>
    <w:p w14:paraId="5CEBC8C9">
      <w:pPr>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质疑函范本</w:t>
      </w:r>
    </w:p>
    <w:p w14:paraId="79FF1234">
      <w:pPr>
        <w:spacing w:line="360" w:lineRule="auto"/>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一、质疑供应商基本信息</w:t>
      </w:r>
    </w:p>
    <w:p w14:paraId="6884284C">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质疑供应商：</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CC75658">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邮编：</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145647A">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联系电话：</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308AECA">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授权代表：</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E9844EB">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E3B0A87">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邮编：</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78526AC">
      <w:pPr>
        <w:spacing w:line="360" w:lineRule="auto"/>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二、质疑项目基本情况</w:t>
      </w:r>
    </w:p>
    <w:p w14:paraId="3790A5DB">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质疑项目的名称：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7D263783">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质疑项目的编号：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包号：</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6FD9F02">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474EE13">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采购文件获取日期：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53964BD2">
      <w:pPr>
        <w:spacing w:line="360" w:lineRule="auto"/>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三、质疑事项具体内容</w:t>
      </w:r>
    </w:p>
    <w:p w14:paraId="77AAD8DA">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质疑事项1：</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AA11E23">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事实依据：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42ECD57">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42F59C1A">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法律依据：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BE1153A">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3409F7C">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质疑事项2</w:t>
      </w:r>
    </w:p>
    <w:p w14:paraId="6E7BBA38">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p w14:paraId="50A7EF58">
      <w:pPr>
        <w:spacing w:line="360" w:lineRule="auto"/>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四、与质疑事项相关的质疑请求</w:t>
      </w:r>
    </w:p>
    <w:p w14:paraId="104BDA34">
      <w:pPr>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请求：</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5EE7C8A6">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签字(签章)：                   公章：                      </w:t>
      </w:r>
    </w:p>
    <w:p w14:paraId="33DC5D84">
      <w:pPr>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    </w:t>
      </w:r>
    </w:p>
    <w:p w14:paraId="1313B111">
      <w:pP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质疑函制作说明：</w:t>
      </w:r>
    </w:p>
    <w:p w14:paraId="6B84693C">
      <w:pPr>
        <w:widowControl/>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1.供应商提出质疑时，应提交质疑函和必要的证明材料。</w:t>
      </w:r>
    </w:p>
    <w:p w14:paraId="460E16E8">
      <w:pPr>
        <w:widowControl/>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EB012F8">
      <w:pPr>
        <w:widowControl/>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3.质疑供应商若对项目的某一分包进行质疑，质疑函中应列明具体分包号。</w:t>
      </w:r>
    </w:p>
    <w:p w14:paraId="584BB854">
      <w:pPr>
        <w:widowControl/>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4.质疑函的质疑事项应具体、明确，并有必要的事实依据和法律依据。</w:t>
      </w:r>
    </w:p>
    <w:p w14:paraId="34EF650C">
      <w:pPr>
        <w:widowControl/>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5.质疑函的质疑请求应与质疑事项相关。</w:t>
      </w:r>
    </w:p>
    <w:p w14:paraId="7061026D">
      <w:pPr>
        <w:widowControl/>
        <w:spacing w:line="360" w:lineRule="auto"/>
        <w:ind w:firstLine="420"/>
        <w:jc w:val="lef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sectPr>
      <w:pgSz w:w="11906" w:h="16838"/>
      <w:pgMar w:top="1142" w:right="1304" w:bottom="1285"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楷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auto"/>
    <w:pitch w:val="default"/>
    <w:sig w:usb0="00000000" w:usb1="0000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黑体_GBK">
    <w:altName w:val="微软雅黑"/>
    <w:panose1 w:val="00000000000000000000"/>
    <w:charset w:val="86"/>
    <w:family w:val="script"/>
    <w:pitch w:val="default"/>
    <w:sig w:usb0="00000000" w:usb1="00000000" w:usb2="00000010" w:usb3="00000000" w:csb0="00040000" w:csb1="00000000"/>
  </w:font>
  <w:font w:name="Adobe 仿宋 Std R">
    <w:altName w:val="仿宋"/>
    <w:panose1 w:val="00000000000000000000"/>
    <w:charset w:val="00"/>
    <w:family w:val="auto"/>
    <w:pitch w:val="default"/>
    <w:sig w:usb0="00000000" w:usb1="00000000" w:usb2="00000000" w:usb3="00000000" w:csb0="00000000" w:csb1="00000000"/>
  </w:font>
  <w:font w:name="MS Mincho">
    <w:panose1 w:val="02020609040205080304"/>
    <w:charset w:val="80"/>
    <w:family w:val="modern"/>
    <w:pitch w:val="default"/>
    <w:sig w:usb0="A00002BF" w:usb1="68C7FCFB" w:usb2="00000010" w:usb3="00000000" w:csb0="4002009F" w:csb1="DFD70000"/>
  </w:font>
  <w:font w:name="Verdana">
    <w:panose1 w:val="020B0604030504040204"/>
    <w:charset w:val="00"/>
    <w:family w:val="swiss"/>
    <w:pitch w:val="default"/>
    <w:sig w:usb0="A00006FF" w:usb1="4000205B" w:usb2="00000010" w:usb3="00000000" w:csb0="2000019F" w:csb1="00000000"/>
  </w:font>
  <w:font w:name="Ђˎ̥">
    <w:altName w:val="Segoe Print"/>
    <w:panose1 w:val="00000000000000000000"/>
    <w:charset w:val="00"/>
    <w:family w:val="auto"/>
    <w:pitch w:val="default"/>
    <w:sig w:usb0="00000000" w:usb1="00000000" w:usb2="00000000" w:usb3="00000000" w:csb0="00000000" w:csb1="00000000"/>
  </w:font>
  <w:font w:name="创艺简黑体">
    <w:altName w:val="黑体"/>
    <w:panose1 w:val="00000000000000000000"/>
    <w:charset w:val="00"/>
    <w:family w:val="auto"/>
    <w:pitch w:val="default"/>
    <w:sig w:usb0="00000000" w:usb1="00000000" w:usb2="00000000" w:usb3="00000000" w:csb0="00000000" w:csb1="00000000"/>
  </w:font>
  <w:font w:name="宋体-简">
    <w:altName w:val="宋体"/>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time new roman">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646172"/>
    </w:sdtPr>
    <w:sdtContent>
      <w:p w14:paraId="4F37B658">
        <w:pPr>
          <w:pStyle w:val="30"/>
          <w:jc w:val="center"/>
        </w:pPr>
        <w:r>
          <w:fldChar w:fldCharType="begin"/>
        </w:r>
        <w:r>
          <w:instrText xml:space="preserve"> PAGE   \* MERGEFORMAT </w:instrText>
        </w:r>
        <w:r>
          <w:fldChar w:fldCharType="separate"/>
        </w:r>
        <w:r>
          <w:rPr>
            <w:lang w:val="zh-CN"/>
          </w:rPr>
          <w:t>73</w:t>
        </w:r>
        <w:r>
          <w:rPr>
            <w:lang w:val="zh-CN"/>
          </w:rPr>
          <w:fldChar w:fldCharType="end"/>
        </w:r>
      </w:p>
    </w:sdtContent>
  </w:sdt>
  <w:p w14:paraId="2C63403C">
    <w:pPr>
      <w:pStyle w:val="3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18F4A"/>
    <w:multiLevelType w:val="singleLevel"/>
    <w:tmpl w:val="A8918F4A"/>
    <w:lvl w:ilvl="0" w:tentative="0">
      <w:start w:val="1"/>
      <w:numFmt w:val="decimal"/>
      <w:suff w:val="nothing"/>
      <w:lvlText w:val="（%1）"/>
      <w:lvlJc w:val="left"/>
    </w:lvl>
  </w:abstractNum>
  <w:abstractNum w:abstractNumId="1">
    <w:nsid w:val="CF092B84"/>
    <w:multiLevelType w:val="multilevel"/>
    <w:tmpl w:val="CF092B84"/>
    <w:lvl w:ilvl="0" w:tentative="0">
      <w:start w:val="1"/>
      <w:numFmt w:val="japaneseCounting"/>
      <w:pStyle w:val="265"/>
      <w:lvlText w:val="第%1章"/>
      <w:lvlJc w:val="left"/>
      <w:pPr>
        <w:ind w:left="9351" w:hanging="420"/>
      </w:pPr>
      <w:rPr>
        <w:rFonts w:hint="eastAsia" w:ascii="黑体" w:eastAsia="黑体"/>
        <w:b w:val="0"/>
        <w:sz w:val="36"/>
        <w:lang w:val="en-US"/>
      </w:rPr>
    </w:lvl>
    <w:lvl w:ilvl="1" w:tentative="0">
      <w:start w:val="1"/>
      <w:numFmt w:val="decimal"/>
      <w:pStyle w:val="245"/>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46"/>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43"/>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00000003"/>
    <w:multiLevelType w:val="multilevel"/>
    <w:tmpl w:val="00000003"/>
    <w:lvl w:ilvl="0" w:tentative="0">
      <w:start w:val="1"/>
      <w:numFmt w:val="bullet"/>
      <w:lvlText w:val=""/>
      <w:lvlJc w:val="left"/>
      <w:pPr>
        <w:tabs>
          <w:tab w:val="left" w:pos="981"/>
        </w:tabs>
        <w:ind w:left="981" w:hanging="420"/>
      </w:pPr>
      <w:rPr>
        <w:rFonts w:hint="default" w:ascii="Wingdings" w:hAnsi="Wingdings"/>
      </w:rPr>
    </w:lvl>
    <w:lvl w:ilvl="1" w:tentative="0">
      <w:start w:val="1"/>
      <w:numFmt w:val="bullet"/>
      <w:lvlText w:val=""/>
      <w:lvlJc w:val="left"/>
      <w:pPr>
        <w:tabs>
          <w:tab w:val="left" w:pos="1401"/>
        </w:tabs>
        <w:ind w:left="1401" w:hanging="420"/>
      </w:pPr>
      <w:rPr>
        <w:rFonts w:hint="default" w:ascii="Wingdings" w:hAnsi="Wingdings"/>
      </w:rPr>
    </w:lvl>
    <w:lvl w:ilvl="2" w:tentative="0">
      <w:start w:val="1"/>
      <w:numFmt w:val="bullet"/>
      <w:lvlText w:val=""/>
      <w:lvlJc w:val="left"/>
      <w:pPr>
        <w:tabs>
          <w:tab w:val="left" w:pos="1821"/>
        </w:tabs>
        <w:ind w:left="1821" w:hanging="420"/>
      </w:pPr>
      <w:rPr>
        <w:rFonts w:hint="default" w:ascii="Wingdings" w:hAnsi="Wingdings"/>
      </w:rPr>
    </w:lvl>
    <w:lvl w:ilvl="3" w:tentative="0">
      <w:start w:val="1"/>
      <w:numFmt w:val="bullet"/>
      <w:lvlText w:val=""/>
      <w:lvlJc w:val="left"/>
      <w:pPr>
        <w:tabs>
          <w:tab w:val="left" w:pos="2241"/>
        </w:tabs>
        <w:ind w:left="2241" w:hanging="420"/>
      </w:pPr>
      <w:rPr>
        <w:rFonts w:hint="default" w:ascii="Wingdings" w:hAnsi="Wingdings"/>
      </w:rPr>
    </w:lvl>
    <w:lvl w:ilvl="4" w:tentative="0">
      <w:start w:val="1"/>
      <w:numFmt w:val="bullet"/>
      <w:lvlText w:val=""/>
      <w:lvlJc w:val="left"/>
      <w:pPr>
        <w:tabs>
          <w:tab w:val="left" w:pos="2661"/>
        </w:tabs>
        <w:ind w:left="2661" w:hanging="420"/>
      </w:pPr>
      <w:rPr>
        <w:rFonts w:hint="default" w:ascii="Wingdings" w:hAnsi="Wingdings"/>
      </w:rPr>
    </w:lvl>
    <w:lvl w:ilvl="5" w:tentative="0">
      <w:start w:val="1"/>
      <w:numFmt w:val="bullet"/>
      <w:lvlText w:val=""/>
      <w:lvlJc w:val="left"/>
      <w:pPr>
        <w:tabs>
          <w:tab w:val="left" w:pos="3081"/>
        </w:tabs>
        <w:ind w:left="3081" w:hanging="420"/>
      </w:pPr>
      <w:rPr>
        <w:rFonts w:hint="default" w:ascii="Wingdings" w:hAnsi="Wingdings"/>
      </w:rPr>
    </w:lvl>
    <w:lvl w:ilvl="6" w:tentative="0">
      <w:start w:val="1"/>
      <w:numFmt w:val="bullet"/>
      <w:lvlText w:val=""/>
      <w:lvlJc w:val="left"/>
      <w:pPr>
        <w:tabs>
          <w:tab w:val="left" w:pos="3501"/>
        </w:tabs>
        <w:ind w:left="3501" w:hanging="420"/>
      </w:pPr>
      <w:rPr>
        <w:rFonts w:hint="default" w:ascii="Wingdings" w:hAnsi="Wingdings"/>
      </w:rPr>
    </w:lvl>
    <w:lvl w:ilvl="7" w:tentative="0">
      <w:start w:val="1"/>
      <w:numFmt w:val="bullet"/>
      <w:lvlText w:val=""/>
      <w:lvlJc w:val="left"/>
      <w:pPr>
        <w:tabs>
          <w:tab w:val="left" w:pos="3921"/>
        </w:tabs>
        <w:ind w:left="3921" w:hanging="420"/>
      </w:pPr>
      <w:rPr>
        <w:rFonts w:hint="default" w:ascii="Wingdings" w:hAnsi="Wingdings"/>
      </w:rPr>
    </w:lvl>
    <w:lvl w:ilvl="8" w:tentative="0">
      <w:start w:val="1"/>
      <w:numFmt w:val="bullet"/>
      <w:lvlText w:val=""/>
      <w:lvlJc w:val="left"/>
      <w:pPr>
        <w:tabs>
          <w:tab w:val="left" w:pos="4341"/>
        </w:tabs>
        <w:ind w:left="4341" w:hanging="420"/>
      </w:pPr>
      <w:rPr>
        <w:rFonts w:hint="default" w:ascii="Wingdings" w:hAnsi="Wingdings"/>
      </w:rPr>
    </w:lvl>
  </w:abstractNum>
  <w:abstractNum w:abstractNumId="3">
    <w:nsid w:val="00000005"/>
    <w:multiLevelType w:val="multilevel"/>
    <w:tmpl w:val="00000005"/>
    <w:lvl w:ilvl="0" w:tentative="0">
      <w:start w:val="1"/>
      <w:numFmt w:val="bullet"/>
      <w:lvlText w:val=""/>
      <w:lvlJc w:val="left"/>
      <w:pPr>
        <w:tabs>
          <w:tab w:val="left" w:pos="981"/>
        </w:tabs>
        <w:ind w:left="981" w:hanging="420"/>
      </w:pPr>
      <w:rPr>
        <w:rFonts w:hint="default" w:ascii="Wingdings" w:hAnsi="Wingdings"/>
      </w:rPr>
    </w:lvl>
    <w:lvl w:ilvl="1" w:tentative="0">
      <w:start w:val="1"/>
      <w:numFmt w:val="bullet"/>
      <w:lvlText w:val=""/>
      <w:lvlJc w:val="left"/>
      <w:pPr>
        <w:tabs>
          <w:tab w:val="left" w:pos="1401"/>
        </w:tabs>
        <w:ind w:left="1401" w:hanging="420"/>
      </w:pPr>
      <w:rPr>
        <w:rFonts w:hint="default" w:ascii="Wingdings" w:hAnsi="Wingdings"/>
      </w:rPr>
    </w:lvl>
    <w:lvl w:ilvl="2" w:tentative="0">
      <w:start w:val="1"/>
      <w:numFmt w:val="bullet"/>
      <w:lvlText w:val=""/>
      <w:lvlJc w:val="left"/>
      <w:pPr>
        <w:tabs>
          <w:tab w:val="left" w:pos="1821"/>
        </w:tabs>
        <w:ind w:left="1821" w:hanging="420"/>
      </w:pPr>
      <w:rPr>
        <w:rFonts w:hint="default" w:ascii="Wingdings" w:hAnsi="Wingdings"/>
      </w:rPr>
    </w:lvl>
    <w:lvl w:ilvl="3" w:tentative="0">
      <w:start w:val="1"/>
      <w:numFmt w:val="bullet"/>
      <w:lvlText w:val=""/>
      <w:lvlJc w:val="left"/>
      <w:pPr>
        <w:tabs>
          <w:tab w:val="left" w:pos="2241"/>
        </w:tabs>
        <w:ind w:left="2241" w:hanging="420"/>
      </w:pPr>
      <w:rPr>
        <w:rFonts w:hint="default" w:ascii="Wingdings" w:hAnsi="Wingdings"/>
      </w:rPr>
    </w:lvl>
    <w:lvl w:ilvl="4" w:tentative="0">
      <w:start w:val="1"/>
      <w:numFmt w:val="bullet"/>
      <w:lvlText w:val=""/>
      <w:lvlJc w:val="left"/>
      <w:pPr>
        <w:tabs>
          <w:tab w:val="left" w:pos="2661"/>
        </w:tabs>
        <w:ind w:left="2661" w:hanging="420"/>
      </w:pPr>
      <w:rPr>
        <w:rFonts w:hint="default" w:ascii="Wingdings" w:hAnsi="Wingdings"/>
      </w:rPr>
    </w:lvl>
    <w:lvl w:ilvl="5" w:tentative="0">
      <w:start w:val="1"/>
      <w:numFmt w:val="bullet"/>
      <w:lvlText w:val=""/>
      <w:lvlJc w:val="left"/>
      <w:pPr>
        <w:tabs>
          <w:tab w:val="left" w:pos="3081"/>
        </w:tabs>
        <w:ind w:left="3081" w:hanging="420"/>
      </w:pPr>
      <w:rPr>
        <w:rFonts w:hint="default" w:ascii="Wingdings" w:hAnsi="Wingdings"/>
      </w:rPr>
    </w:lvl>
    <w:lvl w:ilvl="6" w:tentative="0">
      <w:start w:val="1"/>
      <w:numFmt w:val="bullet"/>
      <w:lvlText w:val=""/>
      <w:lvlJc w:val="left"/>
      <w:pPr>
        <w:tabs>
          <w:tab w:val="left" w:pos="3501"/>
        </w:tabs>
        <w:ind w:left="3501" w:hanging="420"/>
      </w:pPr>
      <w:rPr>
        <w:rFonts w:hint="default" w:ascii="Wingdings" w:hAnsi="Wingdings"/>
      </w:rPr>
    </w:lvl>
    <w:lvl w:ilvl="7" w:tentative="0">
      <w:start w:val="1"/>
      <w:numFmt w:val="bullet"/>
      <w:lvlText w:val=""/>
      <w:lvlJc w:val="left"/>
      <w:pPr>
        <w:tabs>
          <w:tab w:val="left" w:pos="3921"/>
        </w:tabs>
        <w:ind w:left="3921" w:hanging="420"/>
      </w:pPr>
      <w:rPr>
        <w:rFonts w:hint="default" w:ascii="Wingdings" w:hAnsi="Wingdings"/>
      </w:rPr>
    </w:lvl>
    <w:lvl w:ilvl="8" w:tentative="0">
      <w:start w:val="1"/>
      <w:numFmt w:val="bullet"/>
      <w:lvlText w:val=""/>
      <w:lvlJc w:val="left"/>
      <w:pPr>
        <w:tabs>
          <w:tab w:val="left" w:pos="4341"/>
        </w:tabs>
        <w:ind w:left="4341" w:hanging="420"/>
      </w:pPr>
      <w:rPr>
        <w:rFonts w:hint="default" w:ascii="Wingdings" w:hAnsi="Wingdings"/>
      </w:rPr>
    </w:lvl>
  </w:abstractNum>
  <w:abstractNum w:abstractNumId="4">
    <w:nsid w:val="0000000D"/>
    <w:multiLevelType w:val="multilevel"/>
    <w:tmpl w:val="0000000D"/>
    <w:lvl w:ilvl="0" w:tentative="0">
      <w:start w:val="1"/>
      <w:numFmt w:val="bullet"/>
      <w:lvlText w:val=""/>
      <w:lvlJc w:val="left"/>
      <w:pPr>
        <w:tabs>
          <w:tab w:val="left" w:pos="981"/>
        </w:tabs>
        <w:ind w:left="981" w:hanging="420"/>
      </w:pPr>
      <w:rPr>
        <w:rFonts w:hint="default" w:ascii="Wingdings" w:hAnsi="Wingdings"/>
      </w:rPr>
    </w:lvl>
    <w:lvl w:ilvl="1" w:tentative="0">
      <w:start w:val="1"/>
      <w:numFmt w:val="bullet"/>
      <w:lvlText w:val=""/>
      <w:lvlJc w:val="left"/>
      <w:pPr>
        <w:tabs>
          <w:tab w:val="left" w:pos="1401"/>
        </w:tabs>
        <w:ind w:left="1401" w:hanging="420"/>
      </w:pPr>
      <w:rPr>
        <w:rFonts w:hint="default" w:ascii="Wingdings" w:hAnsi="Wingdings"/>
      </w:rPr>
    </w:lvl>
    <w:lvl w:ilvl="2" w:tentative="0">
      <w:start w:val="1"/>
      <w:numFmt w:val="bullet"/>
      <w:lvlText w:val=""/>
      <w:lvlJc w:val="left"/>
      <w:pPr>
        <w:tabs>
          <w:tab w:val="left" w:pos="1821"/>
        </w:tabs>
        <w:ind w:left="1821" w:hanging="420"/>
      </w:pPr>
      <w:rPr>
        <w:rFonts w:hint="default" w:ascii="Wingdings" w:hAnsi="Wingdings"/>
      </w:rPr>
    </w:lvl>
    <w:lvl w:ilvl="3" w:tentative="0">
      <w:start w:val="1"/>
      <w:numFmt w:val="bullet"/>
      <w:lvlText w:val=""/>
      <w:lvlJc w:val="left"/>
      <w:pPr>
        <w:tabs>
          <w:tab w:val="left" w:pos="2241"/>
        </w:tabs>
        <w:ind w:left="2241" w:hanging="420"/>
      </w:pPr>
      <w:rPr>
        <w:rFonts w:hint="default" w:ascii="Wingdings" w:hAnsi="Wingdings"/>
      </w:rPr>
    </w:lvl>
    <w:lvl w:ilvl="4" w:tentative="0">
      <w:start w:val="1"/>
      <w:numFmt w:val="bullet"/>
      <w:lvlText w:val=""/>
      <w:lvlJc w:val="left"/>
      <w:pPr>
        <w:tabs>
          <w:tab w:val="left" w:pos="2661"/>
        </w:tabs>
        <w:ind w:left="2661" w:hanging="420"/>
      </w:pPr>
      <w:rPr>
        <w:rFonts w:hint="default" w:ascii="Wingdings" w:hAnsi="Wingdings"/>
      </w:rPr>
    </w:lvl>
    <w:lvl w:ilvl="5" w:tentative="0">
      <w:start w:val="1"/>
      <w:numFmt w:val="bullet"/>
      <w:lvlText w:val=""/>
      <w:lvlJc w:val="left"/>
      <w:pPr>
        <w:tabs>
          <w:tab w:val="left" w:pos="3081"/>
        </w:tabs>
        <w:ind w:left="3081" w:hanging="420"/>
      </w:pPr>
      <w:rPr>
        <w:rFonts w:hint="default" w:ascii="Wingdings" w:hAnsi="Wingdings"/>
      </w:rPr>
    </w:lvl>
    <w:lvl w:ilvl="6" w:tentative="0">
      <w:start w:val="1"/>
      <w:numFmt w:val="bullet"/>
      <w:lvlText w:val=""/>
      <w:lvlJc w:val="left"/>
      <w:pPr>
        <w:tabs>
          <w:tab w:val="left" w:pos="3501"/>
        </w:tabs>
        <w:ind w:left="3501" w:hanging="420"/>
      </w:pPr>
      <w:rPr>
        <w:rFonts w:hint="default" w:ascii="Wingdings" w:hAnsi="Wingdings"/>
      </w:rPr>
    </w:lvl>
    <w:lvl w:ilvl="7" w:tentative="0">
      <w:start w:val="1"/>
      <w:numFmt w:val="bullet"/>
      <w:lvlText w:val=""/>
      <w:lvlJc w:val="left"/>
      <w:pPr>
        <w:tabs>
          <w:tab w:val="left" w:pos="3921"/>
        </w:tabs>
        <w:ind w:left="3921" w:hanging="420"/>
      </w:pPr>
      <w:rPr>
        <w:rFonts w:hint="default" w:ascii="Wingdings" w:hAnsi="Wingdings"/>
      </w:rPr>
    </w:lvl>
    <w:lvl w:ilvl="8" w:tentative="0">
      <w:start w:val="1"/>
      <w:numFmt w:val="bullet"/>
      <w:lvlText w:val=""/>
      <w:lvlJc w:val="left"/>
      <w:pPr>
        <w:tabs>
          <w:tab w:val="left" w:pos="4341"/>
        </w:tabs>
        <w:ind w:left="4341" w:hanging="420"/>
      </w:pPr>
      <w:rPr>
        <w:rFonts w:hint="default" w:ascii="Wingdings" w:hAnsi="Wingdings"/>
      </w:rPr>
    </w:lvl>
  </w:abstractNum>
  <w:abstractNum w:abstractNumId="5">
    <w:nsid w:val="0053208E"/>
    <w:multiLevelType w:val="multilevel"/>
    <w:tmpl w:val="0053208E"/>
    <w:lvl w:ilvl="0" w:tentative="0">
      <w:start w:val="1"/>
      <w:numFmt w:val="upperLetter"/>
      <w:pStyle w:val="242"/>
      <w:lvlText w:val="附录%1."/>
      <w:lvlJc w:val="left"/>
      <w:pPr>
        <w:tabs>
          <w:tab w:val="left" w:pos="907"/>
        </w:tabs>
        <w:ind w:left="907" w:hanging="907"/>
      </w:pPr>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japaneseCounting"/>
      <w:lvlText w:val="第%1章"/>
      <w:lvlJc w:val="left"/>
      <w:pPr>
        <w:ind w:left="3634" w:hanging="1080"/>
      </w:pPr>
      <w:rPr>
        <w:rFonts w:hint="default"/>
      </w:rPr>
    </w:lvl>
    <w:lvl w:ilvl="1" w:tentative="0">
      <w:start w:val="1"/>
      <w:numFmt w:val="lowerLetter"/>
      <w:lvlText w:val="%2)"/>
      <w:lvlJc w:val="left"/>
      <w:pPr>
        <w:ind w:left="3394" w:hanging="420"/>
      </w:pPr>
    </w:lvl>
    <w:lvl w:ilvl="2" w:tentative="0">
      <w:start w:val="1"/>
      <w:numFmt w:val="lowerRoman"/>
      <w:lvlText w:val="%3."/>
      <w:lvlJc w:val="right"/>
      <w:pPr>
        <w:ind w:left="3814" w:hanging="420"/>
      </w:pPr>
    </w:lvl>
    <w:lvl w:ilvl="3" w:tentative="0">
      <w:start w:val="1"/>
      <w:numFmt w:val="decimal"/>
      <w:lvlText w:val="%4."/>
      <w:lvlJc w:val="left"/>
      <w:pPr>
        <w:ind w:left="4234" w:hanging="420"/>
      </w:pPr>
    </w:lvl>
    <w:lvl w:ilvl="4" w:tentative="0">
      <w:start w:val="1"/>
      <w:numFmt w:val="lowerLetter"/>
      <w:lvlText w:val="%5)"/>
      <w:lvlJc w:val="left"/>
      <w:pPr>
        <w:ind w:left="4654" w:hanging="420"/>
      </w:pPr>
    </w:lvl>
    <w:lvl w:ilvl="5" w:tentative="0">
      <w:start w:val="1"/>
      <w:numFmt w:val="lowerRoman"/>
      <w:lvlText w:val="%6."/>
      <w:lvlJc w:val="right"/>
      <w:pPr>
        <w:ind w:left="5074" w:hanging="420"/>
      </w:pPr>
    </w:lvl>
    <w:lvl w:ilvl="6" w:tentative="0">
      <w:start w:val="1"/>
      <w:numFmt w:val="decimal"/>
      <w:lvlText w:val="%7."/>
      <w:lvlJc w:val="left"/>
      <w:pPr>
        <w:ind w:left="5494" w:hanging="420"/>
      </w:pPr>
    </w:lvl>
    <w:lvl w:ilvl="7" w:tentative="0">
      <w:start w:val="1"/>
      <w:numFmt w:val="lowerLetter"/>
      <w:lvlText w:val="%8)"/>
      <w:lvlJc w:val="left"/>
      <w:pPr>
        <w:ind w:left="5914" w:hanging="420"/>
      </w:pPr>
    </w:lvl>
    <w:lvl w:ilvl="8" w:tentative="0">
      <w:start w:val="1"/>
      <w:numFmt w:val="lowerRoman"/>
      <w:lvlText w:val="%9."/>
      <w:lvlJc w:val="right"/>
      <w:pPr>
        <w:ind w:left="6334" w:hanging="420"/>
      </w:pPr>
    </w:lvl>
  </w:abstractNum>
  <w:num w:numId="1">
    <w:abstractNumId w:val="5"/>
  </w:num>
  <w:num w:numId="2">
    <w:abstractNumId w:val="1"/>
  </w:num>
  <w:num w:numId="3">
    <w:abstractNumId w:val="6"/>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hideSpellingErrors/>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
  <w:rsids>
    <w:rsidRoot w:val="00B526CA"/>
    <w:rsid w:val="00001156"/>
    <w:rsid w:val="00005D06"/>
    <w:rsid w:val="00010BAF"/>
    <w:rsid w:val="00013E97"/>
    <w:rsid w:val="00014ED9"/>
    <w:rsid w:val="00024283"/>
    <w:rsid w:val="000249FA"/>
    <w:rsid w:val="00032CF6"/>
    <w:rsid w:val="000441DB"/>
    <w:rsid w:val="000608DA"/>
    <w:rsid w:val="000612DA"/>
    <w:rsid w:val="000817C5"/>
    <w:rsid w:val="00087156"/>
    <w:rsid w:val="000B7467"/>
    <w:rsid w:val="000D57F6"/>
    <w:rsid w:val="000E3388"/>
    <w:rsid w:val="000E7936"/>
    <w:rsid w:val="00103EA4"/>
    <w:rsid w:val="00113DD9"/>
    <w:rsid w:val="00144F73"/>
    <w:rsid w:val="00152886"/>
    <w:rsid w:val="001563E4"/>
    <w:rsid w:val="00156D04"/>
    <w:rsid w:val="00164CE4"/>
    <w:rsid w:val="0016588B"/>
    <w:rsid w:val="00165BD6"/>
    <w:rsid w:val="00173CB9"/>
    <w:rsid w:val="00192155"/>
    <w:rsid w:val="00197403"/>
    <w:rsid w:val="001C261C"/>
    <w:rsid w:val="001C67DE"/>
    <w:rsid w:val="001D3E58"/>
    <w:rsid w:val="001E6265"/>
    <w:rsid w:val="002048F3"/>
    <w:rsid w:val="0020520B"/>
    <w:rsid w:val="002106AE"/>
    <w:rsid w:val="0022043E"/>
    <w:rsid w:val="00233079"/>
    <w:rsid w:val="0023717F"/>
    <w:rsid w:val="00240FD6"/>
    <w:rsid w:val="002419F3"/>
    <w:rsid w:val="00284038"/>
    <w:rsid w:val="00291D74"/>
    <w:rsid w:val="002B7538"/>
    <w:rsid w:val="002C3760"/>
    <w:rsid w:val="002C48C8"/>
    <w:rsid w:val="002D16ED"/>
    <w:rsid w:val="002D31AA"/>
    <w:rsid w:val="002F1869"/>
    <w:rsid w:val="00303F8F"/>
    <w:rsid w:val="00312AA8"/>
    <w:rsid w:val="00312BFC"/>
    <w:rsid w:val="003234D1"/>
    <w:rsid w:val="003352C3"/>
    <w:rsid w:val="00335E78"/>
    <w:rsid w:val="00340B90"/>
    <w:rsid w:val="003449C8"/>
    <w:rsid w:val="00352F43"/>
    <w:rsid w:val="003554BC"/>
    <w:rsid w:val="00361340"/>
    <w:rsid w:val="003952B1"/>
    <w:rsid w:val="003A07C4"/>
    <w:rsid w:val="003B6440"/>
    <w:rsid w:val="003D018B"/>
    <w:rsid w:val="003F3F6D"/>
    <w:rsid w:val="00400630"/>
    <w:rsid w:val="004139D4"/>
    <w:rsid w:val="00420870"/>
    <w:rsid w:val="00432107"/>
    <w:rsid w:val="00483551"/>
    <w:rsid w:val="00490B57"/>
    <w:rsid w:val="004C627A"/>
    <w:rsid w:val="004E16DB"/>
    <w:rsid w:val="004F4CDC"/>
    <w:rsid w:val="00505FC9"/>
    <w:rsid w:val="00511390"/>
    <w:rsid w:val="00533B2D"/>
    <w:rsid w:val="0054404B"/>
    <w:rsid w:val="00561081"/>
    <w:rsid w:val="00565FA2"/>
    <w:rsid w:val="0057350E"/>
    <w:rsid w:val="0057581B"/>
    <w:rsid w:val="00577044"/>
    <w:rsid w:val="00583F27"/>
    <w:rsid w:val="00584620"/>
    <w:rsid w:val="005A5E85"/>
    <w:rsid w:val="005C42F3"/>
    <w:rsid w:val="005D13E4"/>
    <w:rsid w:val="005F4B82"/>
    <w:rsid w:val="00632969"/>
    <w:rsid w:val="00633725"/>
    <w:rsid w:val="00641C30"/>
    <w:rsid w:val="00651EFD"/>
    <w:rsid w:val="00654577"/>
    <w:rsid w:val="0065479E"/>
    <w:rsid w:val="00656EFE"/>
    <w:rsid w:val="006E430F"/>
    <w:rsid w:val="006E7F6F"/>
    <w:rsid w:val="006F2C21"/>
    <w:rsid w:val="00711D04"/>
    <w:rsid w:val="007160C8"/>
    <w:rsid w:val="00721AF1"/>
    <w:rsid w:val="00723A78"/>
    <w:rsid w:val="00733596"/>
    <w:rsid w:val="00756402"/>
    <w:rsid w:val="00757AAC"/>
    <w:rsid w:val="007756C4"/>
    <w:rsid w:val="00775C73"/>
    <w:rsid w:val="00781EA5"/>
    <w:rsid w:val="007B259F"/>
    <w:rsid w:val="007E33CC"/>
    <w:rsid w:val="007E6395"/>
    <w:rsid w:val="007E7C69"/>
    <w:rsid w:val="007F559F"/>
    <w:rsid w:val="007F7B1F"/>
    <w:rsid w:val="007F7E2F"/>
    <w:rsid w:val="00800BAC"/>
    <w:rsid w:val="008016D5"/>
    <w:rsid w:val="00804016"/>
    <w:rsid w:val="008238C3"/>
    <w:rsid w:val="00831807"/>
    <w:rsid w:val="00837628"/>
    <w:rsid w:val="008517D4"/>
    <w:rsid w:val="00853C84"/>
    <w:rsid w:val="00873FAB"/>
    <w:rsid w:val="0087674E"/>
    <w:rsid w:val="00886AA7"/>
    <w:rsid w:val="00886D5A"/>
    <w:rsid w:val="008A531B"/>
    <w:rsid w:val="008B06AF"/>
    <w:rsid w:val="008C2413"/>
    <w:rsid w:val="008D2886"/>
    <w:rsid w:val="008E0389"/>
    <w:rsid w:val="008E3174"/>
    <w:rsid w:val="008E6D3A"/>
    <w:rsid w:val="008F45CF"/>
    <w:rsid w:val="00933267"/>
    <w:rsid w:val="00956F40"/>
    <w:rsid w:val="0098183A"/>
    <w:rsid w:val="00985251"/>
    <w:rsid w:val="00985874"/>
    <w:rsid w:val="00992506"/>
    <w:rsid w:val="009A2768"/>
    <w:rsid w:val="009B55F3"/>
    <w:rsid w:val="009C73A5"/>
    <w:rsid w:val="009E2AEC"/>
    <w:rsid w:val="009E6E9B"/>
    <w:rsid w:val="009F34E9"/>
    <w:rsid w:val="00A02849"/>
    <w:rsid w:val="00A22D11"/>
    <w:rsid w:val="00A2389B"/>
    <w:rsid w:val="00A3215B"/>
    <w:rsid w:val="00A55F21"/>
    <w:rsid w:val="00A87466"/>
    <w:rsid w:val="00A93E80"/>
    <w:rsid w:val="00AA3429"/>
    <w:rsid w:val="00AA5FDA"/>
    <w:rsid w:val="00AA60D4"/>
    <w:rsid w:val="00AB0871"/>
    <w:rsid w:val="00AB2E0F"/>
    <w:rsid w:val="00AB63EF"/>
    <w:rsid w:val="00AB78A0"/>
    <w:rsid w:val="00AD0E4B"/>
    <w:rsid w:val="00AD1085"/>
    <w:rsid w:val="00AE055A"/>
    <w:rsid w:val="00AF0C5A"/>
    <w:rsid w:val="00AF50CE"/>
    <w:rsid w:val="00B1053F"/>
    <w:rsid w:val="00B136C0"/>
    <w:rsid w:val="00B36986"/>
    <w:rsid w:val="00B526CA"/>
    <w:rsid w:val="00B53BF6"/>
    <w:rsid w:val="00B6699F"/>
    <w:rsid w:val="00B71F4D"/>
    <w:rsid w:val="00B80542"/>
    <w:rsid w:val="00BA063B"/>
    <w:rsid w:val="00BA0A5C"/>
    <w:rsid w:val="00BB10D4"/>
    <w:rsid w:val="00BB2271"/>
    <w:rsid w:val="00BB448D"/>
    <w:rsid w:val="00BB5BFE"/>
    <w:rsid w:val="00BE55CA"/>
    <w:rsid w:val="00BE6F2B"/>
    <w:rsid w:val="00BF5E38"/>
    <w:rsid w:val="00C0219E"/>
    <w:rsid w:val="00C02F4F"/>
    <w:rsid w:val="00C238BF"/>
    <w:rsid w:val="00C23B4D"/>
    <w:rsid w:val="00C2607F"/>
    <w:rsid w:val="00C37BBE"/>
    <w:rsid w:val="00C546A0"/>
    <w:rsid w:val="00C72E9C"/>
    <w:rsid w:val="00C8765A"/>
    <w:rsid w:val="00CB3B56"/>
    <w:rsid w:val="00CD6C53"/>
    <w:rsid w:val="00CE1A81"/>
    <w:rsid w:val="00CE42BA"/>
    <w:rsid w:val="00CF18EF"/>
    <w:rsid w:val="00CF3785"/>
    <w:rsid w:val="00CF3AC9"/>
    <w:rsid w:val="00D21BEB"/>
    <w:rsid w:val="00D52676"/>
    <w:rsid w:val="00D54366"/>
    <w:rsid w:val="00D557DF"/>
    <w:rsid w:val="00D6084F"/>
    <w:rsid w:val="00D75068"/>
    <w:rsid w:val="00D805F5"/>
    <w:rsid w:val="00D828F2"/>
    <w:rsid w:val="00DB125A"/>
    <w:rsid w:val="00DB45E8"/>
    <w:rsid w:val="00DC0563"/>
    <w:rsid w:val="00DC1BC7"/>
    <w:rsid w:val="00DC7611"/>
    <w:rsid w:val="00DD1BF9"/>
    <w:rsid w:val="00DE0FB7"/>
    <w:rsid w:val="00DE3E8B"/>
    <w:rsid w:val="00DF37DD"/>
    <w:rsid w:val="00DF3B7A"/>
    <w:rsid w:val="00E05CBF"/>
    <w:rsid w:val="00E07BA1"/>
    <w:rsid w:val="00E22A2D"/>
    <w:rsid w:val="00E24C22"/>
    <w:rsid w:val="00E34A7E"/>
    <w:rsid w:val="00E726B7"/>
    <w:rsid w:val="00E74452"/>
    <w:rsid w:val="00E8466D"/>
    <w:rsid w:val="00E86F21"/>
    <w:rsid w:val="00E90E51"/>
    <w:rsid w:val="00E95C9A"/>
    <w:rsid w:val="00EA412C"/>
    <w:rsid w:val="00EA496B"/>
    <w:rsid w:val="00EC407F"/>
    <w:rsid w:val="00EC6194"/>
    <w:rsid w:val="00EC66D3"/>
    <w:rsid w:val="00EC688A"/>
    <w:rsid w:val="00EC788B"/>
    <w:rsid w:val="00EF1510"/>
    <w:rsid w:val="00F05696"/>
    <w:rsid w:val="00F120E6"/>
    <w:rsid w:val="00F45150"/>
    <w:rsid w:val="00F50CDF"/>
    <w:rsid w:val="00F5460A"/>
    <w:rsid w:val="00F54AA9"/>
    <w:rsid w:val="00F86888"/>
    <w:rsid w:val="00FA20D6"/>
    <w:rsid w:val="00FB131E"/>
    <w:rsid w:val="00FB3318"/>
    <w:rsid w:val="00FC2966"/>
    <w:rsid w:val="00FE1487"/>
    <w:rsid w:val="00FE195E"/>
    <w:rsid w:val="00FE2BEA"/>
    <w:rsid w:val="012515C4"/>
    <w:rsid w:val="01E054EB"/>
    <w:rsid w:val="01FB2325"/>
    <w:rsid w:val="021A6C4F"/>
    <w:rsid w:val="023D46EC"/>
    <w:rsid w:val="025C1016"/>
    <w:rsid w:val="028C11CF"/>
    <w:rsid w:val="02CF18BA"/>
    <w:rsid w:val="02DA5FC0"/>
    <w:rsid w:val="02E96621"/>
    <w:rsid w:val="02EB05EB"/>
    <w:rsid w:val="0367511C"/>
    <w:rsid w:val="03731215"/>
    <w:rsid w:val="037850A7"/>
    <w:rsid w:val="03977E2B"/>
    <w:rsid w:val="03A32C74"/>
    <w:rsid w:val="03E84AD5"/>
    <w:rsid w:val="04082AD7"/>
    <w:rsid w:val="04114424"/>
    <w:rsid w:val="041E7FC4"/>
    <w:rsid w:val="04F67CD0"/>
    <w:rsid w:val="052F2A11"/>
    <w:rsid w:val="055204AE"/>
    <w:rsid w:val="05692E53"/>
    <w:rsid w:val="056A3A4A"/>
    <w:rsid w:val="056F2E0E"/>
    <w:rsid w:val="05D45CA6"/>
    <w:rsid w:val="06161D2A"/>
    <w:rsid w:val="06471FDD"/>
    <w:rsid w:val="06D27AF8"/>
    <w:rsid w:val="071719AF"/>
    <w:rsid w:val="073230AE"/>
    <w:rsid w:val="075A7AEE"/>
    <w:rsid w:val="0781571A"/>
    <w:rsid w:val="07BE54DC"/>
    <w:rsid w:val="088547D4"/>
    <w:rsid w:val="08F075BB"/>
    <w:rsid w:val="08FB443F"/>
    <w:rsid w:val="092108C3"/>
    <w:rsid w:val="092D370C"/>
    <w:rsid w:val="094E3682"/>
    <w:rsid w:val="09992B4F"/>
    <w:rsid w:val="09D00339"/>
    <w:rsid w:val="0A322FFB"/>
    <w:rsid w:val="0A876E4C"/>
    <w:rsid w:val="0B1A1A6E"/>
    <w:rsid w:val="0BEA32BC"/>
    <w:rsid w:val="0BED7182"/>
    <w:rsid w:val="0C083E4A"/>
    <w:rsid w:val="0C686809"/>
    <w:rsid w:val="0CBF23F5"/>
    <w:rsid w:val="0CDB667B"/>
    <w:rsid w:val="0CE2699E"/>
    <w:rsid w:val="0D266145"/>
    <w:rsid w:val="0D384B88"/>
    <w:rsid w:val="0D3A01A5"/>
    <w:rsid w:val="0D7D62E4"/>
    <w:rsid w:val="0D836C92"/>
    <w:rsid w:val="0DB02C7C"/>
    <w:rsid w:val="0DB066B9"/>
    <w:rsid w:val="0DB735A4"/>
    <w:rsid w:val="0DEE2D3E"/>
    <w:rsid w:val="0DF93BBE"/>
    <w:rsid w:val="0E2F5830"/>
    <w:rsid w:val="0E3D7A8D"/>
    <w:rsid w:val="0E6D6359"/>
    <w:rsid w:val="0ECD6DF7"/>
    <w:rsid w:val="0F615EBD"/>
    <w:rsid w:val="0F8B2F3A"/>
    <w:rsid w:val="0FD74C28"/>
    <w:rsid w:val="0FF94348"/>
    <w:rsid w:val="1031325E"/>
    <w:rsid w:val="103A747C"/>
    <w:rsid w:val="10491712"/>
    <w:rsid w:val="10A14636"/>
    <w:rsid w:val="10B63FE7"/>
    <w:rsid w:val="10C06EE4"/>
    <w:rsid w:val="118228AC"/>
    <w:rsid w:val="11AE1162"/>
    <w:rsid w:val="11F13DA4"/>
    <w:rsid w:val="122431D2"/>
    <w:rsid w:val="12533D65"/>
    <w:rsid w:val="12955E7E"/>
    <w:rsid w:val="131E7C21"/>
    <w:rsid w:val="13315BA7"/>
    <w:rsid w:val="13382C11"/>
    <w:rsid w:val="1378324E"/>
    <w:rsid w:val="138560D2"/>
    <w:rsid w:val="13955909"/>
    <w:rsid w:val="139765C4"/>
    <w:rsid w:val="13BD568C"/>
    <w:rsid w:val="13CC3B21"/>
    <w:rsid w:val="13F15336"/>
    <w:rsid w:val="13F310AE"/>
    <w:rsid w:val="14641FAC"/>
    <w:rsid w:val="14700951"/>
    <w:rsid w:val="14F90946"/>
    <w:rsid w:val="14FC3F92"/>
    <w:rsid w:val="150A2F86"/>
    <w:rsid w:val="1554265E"/>
    <w:rsid w:val="15581B10"/>
    <w:rsid w:val="15793DE0"/>
    <w:rsid w:val="15EE28E5"/>
    <w:rsid w:val="16296D99"/>
    <w:rsid w:val="16450A87"/>
    <w:rsid w:val="16A95FFC"/>
    <w:rsid w:val="16B70AB9"/>
    <w:rsid w:val="16BC7E7D"/>
    <w:rsid w:val="17084E70"/>
    <w:rsid w:val="171E5839"/>
    <w:rsid w:val="171E6442"/>
    <w:rsid w:val="17577BA6"/>
    <w:rsid w:val="17C57205"/>
    <w:rsid w:val="17CE1BA5"/>
    <w:rsid w:val="1815425C"/>
    <w:rsid w:val="18226406"/>
    <w:rsid w:val="18480EC9"/>
    <w:rsid w:val="184B770B"/>
    <w:rsid w:val="185C3406"/>
    <w:rsid w:val="1888270D"/>
    <w:rsid w:val="1896346F"/>
    <w:rsid w:val="189B3AC2"/>
    <w:rsid w:val="19434CA2"/>
    <w:rsid w:val="195770FF"/>
    <w:rsid w:val="19A47D25"/>
    <w:rsid w:val="19A846E9"/>
    <w:rsid w:val="19AC2B2D"/>
    <w:rsid w:val="19BF3903"/>
    <w:rsid w:val="19EE47F1"/>
    <w:rsid w:val="19FB0CBC"/>
    <w:rsid w:val="1A0E66C2"/>
    <w:rsid w:val="1A1D0D3A"/>
    <w:rsid w:val="1A7B1DFD"/>
    <w:rsid w:val="1A7B3BAB"/>
    <w:rsid w:val="1A881766"/>
    <w:rsid w:val="1A9D1D74"/>
    <w:rsid w:val="1AB33345"/>
    <w:rsid w:val="1ABD2416"/>
    <w:rsid w:val="1ACF0441"/>
    <w:rsid w:val="1B6F54BE"/>
    <w:rsid w:val="1B8F5B60"/>
    <w:rsid w:val="1B904D56"/>
    <w:rsid w:val="1BC51582"/>
    <w:rsid w:val="1C2178DB"/>
    <w:rsid w:val="1C4163CD"/>
    <w:rsid w:val="1C7134B8"/>
    <w:rsid w:val="1C7A2EBA"/>
    <w:rsid w:val="1C7A6810"/>
    <w:rsid w:val="1C8B4DFC"/>
    <w:rsid w:val="1CB10147"/>
    <w:rsid w:val="1CC161ED"/>
    <w:rsid w:val="1CD06430"/>
    <w:rsid w:val="1CFA16FF"/>
    <w:rsid w:val="1D01483C"/>
    <w:rsid w:val="1D1A28C9"/>
    <w:rsid w:val="1D300C7D"/>
    <w:rsid w:val="1D554B87"/>
    <w:rsid w:val="1D7A639C"/>
    <w:rsid w:val="1D9236E6"/>
    <w:rsid w:val="1DA029F5"/>
    <w:rsid w:val="1E0F3A3F"/>
    <w:rsid w:val="1E4744D0"/>
    <w:rsid w:val="1E605592"/>
    <w:rsid w:val="1E6908EA"/>
    <w:rsid w:val="1E7E42CB"/>
    <w:rsid w:val="1E9011E2"/>
    <w:rsid w:val="1F016D75"/>
    <w:rsid w:val="1F3802BD"/>
    <w:rsid w:val="1F813CF1"/>
    <w:rsid w:val="1F903C55"/>
    <w:rsid w:val="1FF27049"/>
    <w:rsid w:val="200C041C"/>
    <w:rsid w:val="20427645"/>
    <w:rsid w:val="20592BE1"/>
    <w:rsid w:val="20744BA5"/>
    <w:rsid w:val="20992FDD"/>
    <w:rsid w:val="20B87907"/>
    <w:rsid w:val="20C52E37"/>
    <w:rsid w:val="20D52267"/>
    <w:rsid w:val="212B00D9"/>
    <w:rsid w:val="21613AFB"/>
    <w:rsid w:val="21B67A0A"/>
    <w:rsid w:val="21D00C81"/>
    <w:rsid w:val="21E85FCA"/>
    <w:rsid w:val="21E93AF0"/>
    <w:rsid w:val="21FA5CFD"/>
    <w:rsid w:val="22673393"/>
    <w:rsid w:val="22700BCF"/>
    <w:rsid w:val="228575F3"/>
    <w:rsid w:val="22A85759"/>
    <w:rsid w:val="22D138E2"/>
    <w:rsid w:val="22D51157"/>
    <w:rsid w:val="22D90FF1"/>
    <w:rsid w:val="22F12D8C"/>
    <w:rsid w:val="230F7587"/>
    <w:rsid w:val="2329689A"/>
    <w:rsid w:val="233314C7"/>
    <w:rsid w:val="23706277"/>
    <w:rsid w:val="23782476"/>
    <w:rsid w:val="23BC14BC"/>
    <w:rsid w:val="24654ECD"/>
    <w:rsid w:val="249B7324"/>
    <w:rsid w:val="24B108F5"/>
    <w:rsid w:val="24D82326"/>
    <w:rsid w:val="252F5CBE"/>
    <w:rsid w:val="2540611D"/>
    <w:rsid w:val="25421E95"/>
    <w:rsid w:val="255C2292"/>
    <w:rsid w:val="25634134"/>
    <w:rsid w:val="25764D4F"/>
    <w:rsid w:val="25B763DF"/>
    <w:rsid w:val="25BC49F7"/>
    <w:rsid w:val="25C1100C"/>
    <w:rsid w:val="25DD396C"/>
    <w:rsid w:val="25E42FEE"/>
    <w:rsid w:val="261E61D5"/>
    <w:rsid w:val="26437C73"/>
    <w:rsid w:val="26F61189"/>
    <w:rsid w:val="270F5DA7"/>
    <w:rsid w:val="272A0E33"/>
    <w:rsid w:val="27514612"/>
    <w:rsid w:val="27635BE5"/>
    <w:rsid w:val="276C4FA7"/>
    <w:rsid w:val="277F4CDB"/>
    <w:rsid w:val="27B614BF"/>
    <w:rsid w:val="27D33279"/>
    <w:rsid w:val="283D06F2"/>
    <w:rsid w:val="284E0B51"/>
    <w:rsid w:val="28942A08"/>
    <w:rsid w:val="28A864B3"/>
    <w:rsid w:val="28B13AB3"/>
    <w:rsid w:val="298316F9"/>
    <w:rsid w:val="29FC6AB7"/>
    <w:rsid w:val="2A2C6C70"/>
    <w:rsid w:val="2A5F3618"/>
    <w:rsid w:val="2A8A2314"/>
    <w:rsid w:val="2A9C3DF6"/>
    <w:rsid w:val="2AB23619"/>
    <w:rsid w:val="2AD03436"/>
    <w:rsid w:val="2B2F07C6"/>
    <w:rsid w:val="2BCA6E82"/>
    <w:rsid w:val="2BD82C0B"/>
    <w:rsid w:val="2C217497"/>
    <w:rsid w:val="2C2E0A7D"/>
    <w:rsid w:val="2C815051"/>
    <w:rsid w:val="2CA451E4"/>
    <w:rsid w:val="2D2A2B7D"/>
    <w:rsid w:val="2D376058"/>
    <w:rsid w:val="2D577180"/>
    <w:rsid w:val="2D60110A"/>
    <w:rsid w:val="2D8079FF"/>
    <w:rsid w:val="2DDD12AE"/>
    <w:rsid w:val="2E3D0E49"/>
    <w:rsid w:val="2E56250D"/>
    <w:rsid w:val="2E6E7857"/>
    <w:rsid w:val="2E7D2441"/>
    <w:rsid w:val="2E8134BD"/>
    <w:rsid w:val="2E8C4181"/>
    <w:rsid w:val="2EC76F67"/>
    <w:rsid w:val="2EEB534C"/>
    <w:rsid w:val="2F1403FE"/>
    <w:rsid w:val="2F1C3757"/>
    <w:rsid w:val="2F324272"/>
    <w:rsid w:val="2F434FE9"/>
    <w:rsid w:val="2F520F27"/>
    <w:rsid w:val="2F594063"/>
    <w:rsid w:val="2F8F2A02"/>
    <w:rsid w:val="2F9F29D8"/>
    <w:rsid w:val="2FB4573E"/>
    <w:rsid w:val="2FC516F9"/>
    <w:rsid w:val="2FCE1DB4"/>
    <w:rsid w:val="3006424D"/>
    <w:rsid w:val="30085A89"/>
    <w:rsid w:val="300E30A0"/>
    <w:rsid w:val="302E78AA"/>
    <w:rsid w:val="302F14C5"/>
    <w:rsid w:val="30637C28"/>
    <w:rsid w:val="30B11C7D"/>
    <w:rsid w:val="3115045E"/>
    <w:rsid w:val="31271F3F"/>
    <w:rsid w:val="312863E3"/>
    <w:rsid w:val="312B68E4"/>
    <w:rsid w:val="314D5E4A"/>
    <w:rsid w:val="3199026E"/>
    <w:rsid w:val="31D14A2C"/>
    <w:rsid w:val="329D4BAF"/>
    <w:rsid w:val="32B334A9"/>
    <w:rsid w:val="32BD6FFF"/>
    <w:rsid w:val="32E60304"/>
    <w:rsid w:val="33060643"/>
    <w:rsid w:val="33363ED5"/>
    <w:rsid w:val="3364747B"/>
    <w:rsid w:val="33730803"/>
    <w:rsid w:val="338A0D9F"/>
    <w:rsid w:val="33BF474A"/>
    <w:rsid w:val="33D313E6"/>
    <w:rsid w:val="34014CC9"/>
    <w:rsid w:val="341D7D55"/>
    <w:rsid w:val="342777B9"/>
    <w:rsid w:val="3474193F"/>
    <w:rsid w:val="34A57D4B"/>
    <w:rsid w:val="34B61E71"/>
    <w:rsid w:val="34F07218"/>
    <w:rsid w:val="35260E8C"/>
    <w:rsid w:val="35715D1B"/>
    <w:rsid w:val="35731BF7"/>
    <w:rsid w:val="3575771D"/>
    <w:rsid w:val="35B477A8"/>
    <w:rsid w:val="35F745D6"/>
    <w:rsid w:val="362A40E4"/>
    <w:rsid w:val="36586FDC"/>
    <w:rsid w:val="367E6622"/>
    <w:rsid w:val="36AF6C5F"/>
    <w:rsid w:val="36BC750C"/>
    <w:rsid w:val="36F079A3"/>
    <w:rsid w:val="370F76FD"/>
    <w:rsid w:val="37313B18"/>
    <w:rsid w:val="3736112E"/>
    <w:rsid w:val="37607F59"/>
    <w:rsid w:val="377A7F7D"/>
    <w:rsid w:val="379320DC"/>
    <w:rsid w:val="37A20571"/>
    <w:rsid w:val="37C4673A"/>
    <w:rsid w:val="37D36145"/>
    <w:rsid w:val="37E172EC"/>
    <w:rsid w:val="37EA43F2"/>
    <w:rsid w:val="380A0E48"/>
    <w:rsid w:val="387339B8"/>
    <w:rsid w:val="387F2CD3"/>
    <w:rsid w:val="388F4F9A"/>
    <w:rsid w:val="38B17CE0"/>
    <w:rsid w:val="38B44A00"/>
    <w:rsid w:val="38BE13DB"/>
    <w:rsid w:val="38C31C2C"/>
    <w:rsid w:val="38CC6E9F"/>
    <w:rsid w:val="38E54BBA"/>
    <w:rsid w:val="392456E2"/>
    <w:rsid w:val="395104A1"/>
    <w:rsid w:val="396F1706"/>
    <w:rsid w:val="39FF1CAB"/>
    <w:rsid w:val="3A422DCD"/>
    <w:rsid w:val="3A517E23"/>
    <w:rsid w:val="3A5244D1"/>
    <w:rsid w:val="3AE96BE3"/>
    <w:rsid w:val="3B24313B"/>
    <w:rsid w:val="3B2E2439"/>
    <w:rsid w:val="3B385475"/>
    <w:rsid w:val="3B8406BA"/>
    <w:rsid w:val="3BD74C8E"/>
    <w:rsid w:val="3C0D4B53"/>
    <w:rsid w:val="3C373039"/>
    <w:rsid w:val="3C38215A"/>
    <w:rsid w:val="3C544530"/>
    <w:rsid w:val="3CCA034E"/>
    <w:rsid w:val="3CDB69FF"/>
    <w:rsid w:val="3CFB6F01"/>
    <w:rsid w:val="3D1859CA"/>
    <w:rsid w:val="3D367828"/>
    <w:rsid w:val="3D430101"/>
    <w:rsid w:val="3D4A148F"/>
    <w:rsid w:val="3D5B414D"/>
    <w:rsid w:val="3D5D400E"/>
    <w:rsid w:val="3DB72FC9"/>
    <w:rsid w:val="3DE11DF4"/>
    <w:rsid w:val="3DE21ABC"/>
    <w:rsid w:val="3DE6740A"/>
    <w:rsid w:val="3DF00EB1"/>
    <w:rsid w:val="3E1201FF"/>
    <w:rsid w:val="3E142A04"/>
    <w:rsid w:val="3EBE3EE3"/>
    <w:rsid w:val="3EC139D3"/>
    <w:rsid w:val="3EFE7838"/>
    <w:rsid w:val="3F0518E8"/>
    <w:rsid w:val="3F214472"/>
    <w:rsid w:val="3F233267"/>
    <w:rsid w:val="3F3643C1"/>
    <w:rsid w:val="3F552F97"/>
    <w:rsid w:val="3F584337"/>
    <w:rsid w:val="3F861B79"/>
    <w:rsid w:val="3F9115F7"/>
    <w:rsid w:val="40061FE5"/>
    <w:rsid w:val="400E0E9A"/>
    <w:rsid w:val="401A783F"/>
    <w:rsid w:val="4041301D"/>
    <w:rsid w:val="4057639D"/>
    <w:rsid w:val="408B4299"/>
    <w:rsid w:val="40EB2F89"/>
    <w:rsid w:val="41006A35"/>
    <w:rsid w:val="410C4179"/>
    <w:rsid w:val="410D1152"/>
    <w:rsid w:val="411E6EBB"/>
    <w:rsid w:val="413B5A0B"/>
    <w:rsid w:val="417E7959"/>
    <w:rsid w:val="41EC6AFB"/>
    <w:rsid w:val="41F523E8"/>
    <w:rsid w:val="4251506E"/>
    <w:rsid w:val="42C65A5C"/>
    <w:rsid w:val="42DE0FF8"/>
    <w:rsid w:val="42F26851"/>
    <w:rsid w:val="43010842"/>
    <w:rsid w:val="430C2D78"/>
    <w:rsid w:val="438652B8"/>
    <w:rsid w:val="439B0C97"/>
    <w:rsid w:val="442567B2"/>
    <w:rsid w:val="4436451B"/>
    <w:rsid w:val="445053AC"/>
    <w:rsid w:val="44B10046"/>
    <w:rsid w:val="44D0671E"/>
    <w:rsid w:val="45B55914"/>
    <w:rsid w:val="45D251D8"/>
    <w:rsid w:val="4608249C"/>
    <w:rsid w:val="4612341B"/>
    <w:rsid w:val="46344BCE"/>
    <w:rsid w:val="467B6B5D"/>
    <w:rsid w:val="46911EDD"/>
    <w:rsid w:val="469E68EC"/>
    <w:rsid w:val="46C83C51"/>
    <w:rsid w:val="46CE3131"/>
    <w:rsid w:val="474A04B2"/>
    <w:rsid w:val="475E2707"/>
    <w:rsid w:val="47E81FD1"/>
    <w:rsid w:val="47EF7803"/>
    <w:rsid w:val="47F2121B"/>
    <w:rsid w:val="4800556C"/>
    <w:rsid w:val="480E23EA"/>
    <w:rsid w:val="482F5815"/>
    <w:rsid w:val="48763A80"/>
    <w:rsid w:val="48A44149"/>
    <w:rsid w:val="48AC7E7E"/>
    <w:rsid w:val="48BF71D5"/>
    <w:rsid w:val="493279A7"/>
    <w:rsid w:val="493B08D0"/>
    <w:rsid w:val="493D00FA"/>
    <w:rsid w:val="49826866"/>
    <w:rsid w:val="49AD34D2"/>
    <w:rsid w:val="4A227A1C"/>
    <w:rsid w:val="4A45195C"/>
    <w:rsid w:val="4A633B90"/>
    <w:rsid w:val="4A6B388E"/>
    <w:rsid w:val="4AAA17BF"/>
    <w:rsid w:val="4AFD71B0"/>
    <w:rsid w:val="4B2912E2"/>
    <w:rsid w:val="4B3E6269"/>
    <w:rsid w:val="4B4E65EF"/>
    <w:rsid w:val="4BC845F3"/>
    <w:rsid w:val="4BC92119"/>
    <w:rsid w:val="4BD632E4"/>
    <w:rsid w:val="4C3942E9"/>
    <w:rsid w:val="4C982217"/>
    <w:rsid w:val="4CD40D75"/>
    <w:rsid w:val="4CE216BB"/>
    <w:rsid w:val="4D4B7628"/>
    <w:rsid w:val="4D7C38E7"/>
    <w:rsid w:val="4D901140"/>
    <w:rsid w:val="4D970721"/>
    <w:rsid w:val="4DA92202"/>
    <w:rsid w:val="4DB210B7"/>
    <w:rsid w:val="4DBF6CD3"/>
    <w:rsid w:val="4DD174AE"/>
    <w:rsid w:val="4DF23BA9"/>
    <w:rsid w:val="4E9D5D56"/>
    <w:rsid w:val="4EB250E6"/>
    <w:rsid w:val="4EB8094F"/>
    <w:rsid w:val="4F0708DF"/>
    <w:rsid w:val="4F244236"/>
    <w:rsid w:val="4F4977F9"/>
    <w:rsid w:val="4F4C553B"/>
    <w:rsid w:val="4F6603AB"/>
    <w:rsid w:val="4F820602"/>
    <w:rsid w:val="4F9F1B0F"/>
    <w:rsid w:val="4FB355BA"/>
    <w:rsid w:val="4FC9093A"/>
    <w:rsid w:val="4FD40BB1"/>
    <w:rsid w:val="4FDD6193"/>
    <w:rsid w:val="50526986"/>
    <w:rsid w:val="50AB003F"/>
    <w:rsid w:val="50CE2134"/>
    <w:rsid w:val="516462A3"/>
    <w:rsid w:val="516A1CA8"/>
    <w:rsid w:val="517126DE"/>
    <w:rsid w:val="517A013D"/>
    <w:rsid w:val="5182631E"/>
    <w:rsid w:val="518B39DB"/>
    <w:rsid w:val="51F6287E"/>
    <w:rsid w:val="52020133"/>
    <w:rsid w:val="52112913"/>
    <w:rsid w:val="522D2509"/>
    <w:rsid w:val="52634497"/>
    <w:rsid w:val="5281560B"/>
    <w:rsid w:val="52A86F2C"/>
    <w:rsid w:val="52AF3E17"/>
    <w:rsid w:val="52C33D66"/>
    <w:rsid w:val="52F21F55"/>
    <w:rsid w:val="53EF5BDA"/>
    <w:rsid w:val="540F0D86"/>
    <w:rsid w:val="548337AD"/>
    <w:rsid w:val="54D20290"/>
    <w:rsid w:val="54E87AB4"/>
    <w:rsid w:val="54FA3343"/>
    <w:rsid w:val="55572544"/>
    <w:rsid w:val="55761912"/>
    <w:rsid w:val="558E065B"/>
    <w:rsid w:val="55C20305"/>
    <w:rsid w:val="56336B0D"/>
    <w:rsid w:val="5657794A"/>
    <w:rsid w:val="56786C15"/>
    <w:rsid w:val="567D422C"/>
    <w:rsid w:val="56811F6E"/>
    <w:rsid w:val="56A417B8"/>
    <w:rsid w:val="57062473"/>
    <w:rsid w:val="57314958"/>
    <w:rsid w:val="57544F8D"/>
    <w:rsid w:val="576F0018"/>
    <w:rsid w:val="57931F59"/>
    <w:rsid w:val="57C51628"/>
    <w:rsid w:val="57C739B1"/>
    <w:rsid w:val="57CC0FC7"/>
    <w:rsid w:val="57DE6F4C"/>
    <w:rsid w:val="57F2777F"/>
    <w:rsid w:val="57F77D81"/>
    <w:rsid w:val="58022C3B"/>
    <w:rsid w:val="581806B0"/>
    <w:rsid w:val="58281B32"/>
    <w:rsid w:val="587E03E9"/>
    <w:rsid w:val="587E32B8"/>
    <w:rsid w:val="58835CFF"/>
    <w:rsid w:val="58E80D86"/>
    <w:rsid w:val="5900361E"/>
    <w:rsid w:val="59034EBC"/>
    <w:rsid w:val="59073F91"/>
    <w:rsid w:val="592070A2"/>
    <w:rsid w:val="59554FEC"/>
    <w:rsid w:val="59CA7788"/>
    <w:rsid w:val="59F30596"/>
    <w:rsid w:val="5A2F3A8F"/>
    <w:rsid w:val="5A4355E9"/>
    <w:rsid w:val="5A517EA9"/>
    <w:rsid w:val="5A5D732D"/>
    <w:rsid w:val="5AC314CB"/>
    <w:rsid w:val="5AD65D77"/>
    <w:rsid w:val="5ADE3E18"/>
    <w:rsid w:val="5AF01470"/>
    <w:rsid w:val="5AF251E8"/>
    <w:rsid w:val="5B1C2265"/>
    <w:rsid w:val="5B3A6B8F"/>
    <w:rsid w:val="5B8B2F47"/>
    <w:rsid w:val="5BC326E1"/>
    <w:rsid w:val="5BC87CF7"/>
    <w:rsid w:val="5BCD17B1"/>
    <w:rsid w:val="5BDC37A3"/>
    <w:rsid w:val="5BEC7F89"/>
    <w:rsid w:val="5BFD2097"/>
    <w:rsid w:val="5C367357"/>
    <w:rsid w:val="5CC27201"/>
    <w:rsid w:val="5CD03307"/>
    <w:rsid w:val="5CDF6883"/>
    <w:rsid w:val="5CF3349A"/>
    <w:rsid w:val="5D6323CD"/>
    <w:rsid w:val="5DC32E6C"/>
    <w:rsid w:val="5DC80482"/>
    <w:rsid w:val="5DCA0392"/>
    <w:rsid w:val="5DEB5F1F"/>
    <w:rsid w:val="5E03770C"/>
    <w:rsid w:val="5E0D204F"/>
    <w:rsid w:val="5E8027CF"/>
    <w:rsid w:val="5E9348CA"/>
    <w:rsid w:val="5E9F7435"/>
    <w:rsid w:val="5F0F06FB"/>
    <w:rsid w:val="5F117C07"/>
    <w:rsid w:val="5F120A73"/>
    <w:rsid w:val="5F2416E8"/>
    <w:rsid w:val="5F5C727F"/>
    <w:rsid w:val="5F7F40F4"/>
    <w:rsid w:val="5FB159C9"/>
    <w:rsid w:val="5FD66BE9"/>
    <w:rsid w:val="5FFC08B7"/>
    <w:rsid w:val="60161979"/>
    <w:rsid w:val="605B53F2"/>
    <w:rsid w:val="60A743F5"/>
    <w:rsid w:val="60B60A66"/>
    <w:rsid w:val="60C4652F"/>
    <w:rsid w:val="60C97884"/>
    <w:rsid w:val="610F57F6"/>
    <w:rsid w:val="6119124E"/>
    <w:rsid w:val="612400C6"/>
    <w:rsid w:val="615564D1"/>
    <w:rsid w:val="615F10FE"/>
    <w:rsid w:val="61734BA9"/>
    <w:rsid w:val="617C3BFE"/>
    <w:rsid w:val="61B7412F"/>
    <w:rsid w:val="622E7C1C"/>
    <w:rsid w:val="624D0F56"/>
    <w:rsid w:val="625B3673"/>
    <w:rsid w:val="62960B4F"/>
    <w:rsid w:val="62B85648"/>
    <w:rsid w:val="62B965EC"/>
    <w:rsid w:val="62BD60DC"/>
    <w:rsid w:val="62FB4E56"/>
    <w:rsid w:val="62FD297C"/>
    <w:rsid w:val="630E53DB"/>
    <w:rsid w:val="631321A0"/>
    <w:rsid w:val="63AB23D8"/>
    <w:rsid w:val="63BA6ABF"/>
    <w:rsid w:val="64140A53"/>
    <w:rsid w:val="64245710"/>
    <w:rsid w:val="64590086"/>
    <w:rsid w:val="647924D6"/>
    <w:rsid w:val="64833355"/>
    <w:rsid w:val="64872E45"/>
    <w:rsid w:val="64BE4ED3"/>
    <w:rsid w:val="6502427A"/>
    <w:rsid w:val="65515201"/>
    <w:rsid w:val="659770B8"/>
    <w:rsid w:val="65DC04C1"/>
    <w:rsid w:val="65FC516D"/>
    <w:rsid w:val="66003E65"/>
    <w:rsid w:val="665A00E6"/>
    <w:rsid w:val="665C6B1E"/>
    <w:rsid w:val="671505CA"/>
    <w:rsid w:val="67191D4F"/>
    <w:rsid w:val="675B7659"/>
    <w:rsid w:val="675D60DF"/>
    <w:rsid w:val="67ED7463"/>
    <w:rsid w:val="680533C6"/>
    <w:rsid w:val="68093B71"/>
    <w:rsid w:val="680C5410"/>
    <w:rsid w:val="68100E9E"/>
    <w:rsid w:val="68203328"/>
    <w:rsid w:val="684F3C7A"/>
    <w:rsid w:val="685A43CD"/>
    <w:rsid w:val="686F7E78"/>
    <w:rsid w:val="698C05B6"/>
    <w:rsid w:val="69992CD3"/>
    <w:rsid w:val="69A00505"/>
    <w:rsid w:val="6A575F2C"/>
    <w:rsid w:val="6A5F216E"/>
    <w:rsid w:val="6AB06526"/>
    <w:rsid w:val="6AFC5C0F"/>
    <w:rsid w:val="6B16410D"/>
    <w:rsid w:val="6B3929BF"/>
    <w:rsid w:val="6BE16F41"/>
    <w:rsid w:val="6BFB5EC7"/>
    <w:rsid w:val="6C1A00FB"/>
    <w:rsid w:val="6C31107C"/>
    <w:rsid w:val="6C4E5FF7"/>
    <w:rsid w:val="6C5B099C"/>
    <w:rsid w:val="6C615D2A"/>
    <w:rsid w:val="6C9F2CF6"/>
    <w:rsid w:val="6CB22A29"/>
    <w:rsid w:val="6CE801F9"/>
    <w:rsid w:val="6CED3A62"/>
    <w:rsid w:val="6D0F1C2A"/>
    <w:rsid w:val="6D231231"/>
    <w:rsid w:val="6D2D5944"/>
    <w:rsid w:val="6D513FF0"/>
    <w:rsid w:val="6D633D24"/>
    <w:rsid w:val="6D6B7B64"/>
    <w:rsid w:val="6DAA3701"/>
    <w:rsid w:val="6DAC1227"/>
    <w:rsid w:val="6DF42BCE"/>
    <w:rsid w:val="6E250FD9"/>
    <w:rsid w:val="6E2E7E8E"/>
    <w:rsid w:val="6E421B8B"/>
    <w:rsid w:val="6E5813AF"/>
    <w:rsid w:val="6EC66318"/>
    <w:rsid w:val="6EDD3662"/>
    <w:rsid w:val="6F0D3F47"/>
    <w:rsid w:val="6F255735"/>
    <w:rsid w:val="6F392F8E"/>
    <w:rsid w:val="6F502086"/>
    <w:rsid w:val="6F5E29F5"/>
    <w:rsid w:val="6FD902CD"/>
    <w:rsid w:val="6FF13869"/>
    <w:rsid w:val="6FFB6495"/>
    <w:rsid w:val="70377729"/>
    <w:rsid w:val="707F0E75"/>
    <w:rsid w:val="708E26BE"/>
    <w:rsid w:val="708E757A"/>
    <w:rsid w:val="709757BE"/>
    <w:rsid w:val="70A72179"/>
    <w:rsid w:val="70D869F1"/>
    <w:rsid w:val="71237C26"/>
    <w:rsid w:val="718030F6"/>
    <w:rsid w:val="719C5A56"/>
    <w:rsid w:val="719E17CE"/>
    <w:rsid w:val="71E82835"/>
    <w:rsid w:val="71F65166"/>
    <w:rsid w:val="721970A7"/>
    <w:rsid w:val="724F3294"/>
    <w:rsid w:val="72B017B9"/>
    <w:rsid w:val="72B62B48"/>
    <w:rsid w:val="72DA05E4"/>
    <w:rsid w:val="731D6723"/>
    <w:rsid w:val="73420BD4"/>
    <w:rsid w:val="735760B0"/>
    <w:rsid w:val="73B9469D"/>
    <w:rsid w:val="73CF2113"/>
    <w:rsid w:val="73E334C8"/>
    <w:rsid w:val="74092F7F"/>
    <w:rsid w:val="7419513C"/>
    <w:rsid w:val="74784559"/>
    <w:rsid w:val="74A54C22"/>
    <w:rsid w:val="74A62F76"/>
    <w:rsid w:val="74A94712"/>
    <w:rsid w:val="74AF129E"/>
    <w:rsid w:val="74DF6386"/>
    <w:rsid w:val="74F6547D"/>
    <w:rsid w:val="75082B5E"/>
    <w:rsid w:val="753541F8"/>
    <w:rsid w:val="758D3290"/>
    <w:rsid w:val="759C6025"/>
    <w:rsid w:val="759F78C3"/>
    <w:rsid w:val="75B570E6"/>
    <w:rsid w:val="75C8506C"/>
    <w:rsid w:val="75D15921"/>
    <w:rsid w:val="75F84E67"/>
    <w:rsid w:val="760A11E0"/>
    <w:rsid w:val="76A15D65"/>
    <w:rsid w:val="77073972"/>
    <w:rsid w:val="77180623"/>
    <w:rsid w:val="773427EF"/>
    <w:rsid w:val="775766A7"/>
    <w:rsid w:val="77C27899"/>
    <w:rsid w:val="783F3821"/>
    <w:rsid w:val="7847671C"/>
    <w:rsid w:val="785726D7"/>
    <w:rsid w:val="78746DE5"/>
    <w:rsid w:val="78EE4DE9"/>
    <w:rsid w:val="79181E66"/>
    <w:rsid w:val="7924080B"/>
    <w:rsid w:val="793437F6"/>
    <w:rsid w:val="793E4FA2"/>
    <w:rsid w:val="794C7D62"/>
    <w:rsid w:val="79F71A7C"/>
    <w:rsid w:val="79F91C98"/>
    <w:rsid w:val="7A2A28FE"/>
    <w:rsid w:val="7A2B7977"/>
    <w:rsid w:val="7A326F58"/>
    <w:rsid w:val="7A410F49"/>
    <w:rsid w:val="7A8C2C0C"/>
    <w:rsid w:val="7ABE6A3D"/>
    <w:rsid w:val="7ACF74DE"/>
    <w:rsid w:val="7AE70F96"/>
    <w:rsid w:val="7B6B0973"/>
    <w:rsid w:val="7B845A59"/>
    <w:rsid w:val="7BB3142A"/>
    <w:rsid w:val="7BFD5343"/>
    <w:rsid w:val="7C1A4147"/>
    <w:rsid w:val="7C280612"/>
    <w:rsid w:val="7C3F770A"/>
    <w:rsid w:val="7C964E36"/>
    <w:rsid w:val="7CEF6506"/>
    <w:rsid w:val="7D1B0177"/>
    <w:rsid w:val="7D690EE2"/>
    <w:rsid w:val="7D6D0011"/>
    <w:rsid w:val="7D821FA4"/>
    <w:rsid w:val="7D943A85"/>
    <w:rsid w:val="7DA71A0B"/>
    <w:rsid w:val="7E266DD3"/>
    <w:rsid w:val="7E970AC4"/>
    <w:rsid w:val="7E9D54D5"/>
    <w:rsid w:val="7EB73ECF"/>
    <w:rsid w:val="7ED176A2"/>
    <w:rsid w:val="7F030EC3"/>
    <w:rsid w:val="7F127358"/>
    <w:rsid w:val="7F1D2D77"/>
    <w:rsid w:val="7F47478E"/>
    <w:rsid w:val="7F623E3B"/>
    <w:rsid w:val="7F6F0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02"/>
    <w:qFormat/>
    <w:uiPriority w:val="0"/>
    <w:pPr>
      <w:keepNext/>
      <w:outlineLvl w:val="0"/>
    </w:pPr>
    <w:rPr>
      <w:rFonts w:ascii="楷体_GB2312" w:hAnsi="Calibri" w:eastAsia="楷体_GB2312" w:cs="Times New Roman"/>
      <w:sz w:val="28"/>
      <w:szCs w:val="20"/>
    </w:rPr>
  </w:style>
  <w:style w:type="paragraph" w:styleId="3">
    <w:name w:val="heading 2"/>
    <w:basedOn w:val="1"/>
    <w:next w:val="1"/>
    <w:link w:val="281"/>
    <w:qFormat/>
    <w:uiPriority w:val="0"/>
    <w:pPr>
      <w:keepNext/>
      <w:keepLines/>
      <w:spacing w:before="260" w:after="260" w:line="416" w:lineRule="auto"/>
      <w:jc w:val="center"/>
      <w:outlineLvl w:val="1"/>
    </w:pPr>
    <w:rPr>
      <w:rFonts w:ascii="Arial" w:hAnsi="Arial" w:eastAsia="幼圆" w:cs="Times New Roman"/>
      <w:b/>
      <w:sz w:val="44"/>
      <w:szCs w:val="20"/>
    </w:rPr>
  </w:style>
  <w:style w:type="paragraph" w:styleId="4">
    <w:name w:val="heading 3"/>
    <w:basedOn w:val="1"/>
    <w:next w:val="5"/>
    <w:link w:val="204"/>
    <w:qFormat/>
    <w:uiPriority w:val="0"/>
    <w:pPr>
      <w:keepNext/>
      <w:keepLines/>
      <w:spacing w:before="260" w:after="260" w:line="416" w:lineRule="auto"/>
      <w:outlineLvl w:val="2"/>
    </w:pPr>
    <w:rPr>
      <w:rFonts w:ascii="Calibri" w:hAnsi="Calibri" w:eastAsia="宋体" w:cs="Times New Roman"/>
      <w:b/>
      <w:sz w:val="32"/>
      <w:szCs w:val="20"/>
    </w:rPr>
  </w:style>
  <w:style w:type="paragraph" w:styleId="6">
    <w:name w:val="heading 4"/>
    <w:basedOn w:val="1"/>
    <w:next w:val="1"/>
    <w:link w:val="205"/>
    <w:qFormat/>
    <w:uiPriority w:val="0"/>
    <w:pPr>
      <w:keepNext/>
      <w:keepLines/>
      <w:spacing w:before="280" w:after="290" w:line="376" w:lineRule="auto"/>
      <w:outlineLvl w:val="3"/>
    </w:pPr>
    <w:rPr>
      <w:rFonts w:ascii="Arial" w:hAnsi="Arial" w:eastAsia="黑体" w:cs="Times New Roman"/>
      <w:b/>
      <w:bCs/>
      <w:sz w:val="28"/>
      <w:szCs w:val="28"/>
    </w:rPr>
  </w:style>
  <w:style w:type="paragraph" w:styleId="7">
    <w:name w:val="heading 5"/>
    <w:basedOn w:val="1"/>
    <w:next w:val="1"/>
    <w:link w:val="206"/>
    <w:qFormat/>
    <w:uiPriority w:val="0"/>
    <w:pPr>
      <w:keepNext/>
      <w:outlineLvl w:val="4"/>
    </w:pPr>
    <w:rPr>
      <w:rFonts w:ascii="宋体" w:hAnsi="宋体" w:eastAsia="宋体" w:cs="Times New Roman"/>
      <w:b/>
      <w:bCs/>
      <w:szCs w:val="24"/>
    </w:rPr>
  </w:style>
  <w:style w:type="paragraph" w:styleId="8">
    <w:name w:val="heading 6"/>
    <w:basedOn w:val="1"/>
    <w:next w:val="1"/>
    <w:link w:val="207"/>
    <w:qFormat/>
    <w:uiPriority w:val="0"/>
    <w:pPr>
      <w:keepNext/>
      <w:keepLines/>
      <w:spacing w:before="240" w:after="64" w:line="319" w:lineRule="auto"/>
      <w:ind w:firstLine="471"/>
      <w:outlineLvl w:val="5"/>
    </w:pPr>
    <w:rPr>
      <w:rFonts w:ascii="Arial" w:hAnsi="Arial" w:eastAsia="黑体" w:cs="Times New Roman"/>
      <w:b/>
      <w:bCs/>
      <w:sz w:val="24"/>
      <w:szCs w:val="24"/>
    </w:rPr>
  </w:style>
  <w:style w:type="paragraph" w:styleId="9">
    <w:name w:val="heading 7"/>
    <w:basedOn w:val="1"/>
    <w:next w:val="1"/>
    <w:link w:val="208"/>
    <w:qFormat/>
    <w:uiPriority w:val="0"/>
    <w:pPr>
      <w:keepNext/>
      <w:keepLines/>
      <w:spacing w:before="240" w:after="64" w:line="317" w:lineRule="auto"/>
      <w:outlineLvl w:val="6"/>
    </w:pPr>
    <w:rPr>
      <w:rFonts w:ascii="Calibri" w:hAnsi="Calibri" w:eastAsia="宋体" w:cs="Times New Roman"/>
      <w:b/>
      <w:bCs/>
      <w:sz w:val="24"/>
      <w:szCs w:val="24"/>
    </w:rPr>
  </w:style>
  <w:style w:type="paragraph" w:styleId="10">
    <w:name w:val="heading 8"/>
    <w:basedOn w:val="1"/>
    <w:next w:val="1"/>
    <w:link w:val="209"/>
    <w:qFormat/>
    <w:uiPriority w:val="0"/>
    <w:pPr>
      <w:keepNext/>
      <w:keepLines/>
      <w:spacing w:before="240" w:after="64" w:line="317" w:lineRule="auto"/>
      <w:outlineLvl w:val="7"/>
    </w:pPr>
    <w:rPr>
      <w:rFonts w:ascii="Cambria" w:hAnsi="Cambria" w:eastAsia="宋体" w:cs="Times New Roman"/>
      <w:sz w:val="24"/>
      <w:szCs w:val="24"/>
    </w:rPr>
  </w:style>
  <w:style w:type="paragraph" w:styleId="11">
    <w:name w:val="heading 9"/>
    <w:basedOn w:val="1"/>
    <w:next w:val="1"/>
    <w:link w:val="210"/>
    <w:qFormat/>
    <w:uiPriority w:val="0"/>
    <w:pPr>
      <w:keepNext/>
      <w:keepLines/>
      <w:spacing w:before="240" w:after="64" w:line="317" w:lineRule="auto"/>
      <w:outlineLvl w:val="8"/>
    </w:pPr>
    <w:rPr>
      <w:rFonts w:ascii="Cambria" w:hAnsi="Cambria" w:eastAsia="宋体" w:cs="Times New Roman"/>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4"/>
    <w:qFormat/>
    <w:uiPriority w:val="0"/>
    <w:pPr>
      <w:ind w:firstLine="420"/>
    </w:pPr>
    <w:rPr>
      <w:rFonts w:ascii="Calibri" w:hAnsi="Calibri" w:eastAsia="宋体" w:cs="Times New Roman"/>
      <w:szCs w:val="20"/>
    </w:rPr>
  </w:style>
  <w:style w:type="paragraph" w:styleId="12">
    <w:name w:val="toc 7"/>
    <w:basedOn w:val="1"/>
    <w:next w:val="1"/>
    <w:qFormat/>
    <w:uiPriority w:val="0"/>
    <w:pPr>
      <w:ind w:left="2520"/>
    </w:pPr>
    <w:rPr>
      <w:rFonts w:ascii="Calibri" w:hAnsi="Calibri" w:eastAsia="宋体" w:cs="Times New Roman"/>
      <w:szCs w:val="24"/>
    </w:rPr>
  </w:style>
  <w:style w:type="paragraph" w:styleId="13">
    <w:name w:val="List Number"/>
    <w:basedOn w:val="1"/>
    <w:qFormat/>
    <w:uiPriority w:val="0"/>
    <w:pPr>
      <w:tabs>
        <w:tab w:val="left" w:pos="0"/>
        <w:tab w:val="left" w:pos="750"/>
      </w:tabs>
    </w:pPr>
    <w:rPr>
      <w:rFonts w:ascii="Times New Roman" w:hAnsi="Times New Roman" w:eastAsia="宋体" w:cs="Times New Roman"/>
      <w:szCs w:val="20"/>
    </w:rPr>
  </w:style>
  <w:style w:type="paragraph" w:styleId="14">
    <w:name w:val="caption"/>
    <w:basedOn w:val="1"/>
    <w:next w:val="1"/>
    <w:qFormat/>
    <w:uiPriority w:val="0"/>
    <w:rPr>
      <w:rFonts w:ascii="Cambria" w:hAnsi="Cambria" w:eastAsia="黑体" w:cs="Times New Roman"/>
      <w:sz w:val="20"/>
      <w:szCs w:val="20"/>
    </w:rPr>
  </w:style>
  <w:style w:type="paragraph" w:styleId="15">
    <w:name w:val="Document Map"/>
    <w:basedOn w:val="1"/>
    <w:link w:val="212"/>
    <w:qFormat/>
    <w:uiPriority w:val="0"/>
    <w:pPr>
      <w:shd w:val="clear" w:color="auto" w:fill="000080"/>
    </w:pPr>
    <w:rPr>
      <w:rFonts w:ascii="Calibri" w:hAnsi="Calibri" w:eastAsia="宋体" w:cs="Times New Roman"/>
      <w:szCs w:val="24"/>
    </w:rPr>
  </w:style>
  <w:style w:type="paragraph" w:styleId="16">
    <w:name w:val="annotation text"/>
    <w:basedOn w:val="1"/>
    <w:link w:val="213"/>
    <w:qFormat/>
    <w:uiPriority w:val="0"/>
    <w:pPr>
      <w:jc w:val="left"/>
    </w:pPr>
    <w:rPr>
      <w:rFonts w:ascii="Calibri" w:hAnsi="Calibri" w:eastAsia="宋体" w:cs="Times New Roman"/>
      <w:szCs w:val="24"/>
    </w:rPr>
  </w:style>
  <w:style w:type="paragraph" w:styleId="17">
    <w:name w:val="Body Text 3"/>
    <w:basedOn w:val="1"/>
    <w:link w:val="284"/>
    <w:qFormat/>
    <w:uiPriority w:val="0"/>
    <w:rPr>
      <w:rFonts w:ascii="仿宋_GB2312" w:hAnsi="Arial" w:eastAsia="仿宋_GB2312" w:cs="Times New Roman"/>
      <w:sz w:val="32"/>
      <w:szCs w:val="20"/>
    </w:rPr>
  </w:style>
  <w:style w:type="paragraph" w:styleId="18">
    <w:name w:val="Body Text"/>
    <w:basedOn w:val="1"/>
    <w:link w:val="215"/>
    <w:qFormat/>
    <w:uiPriority w:val="0"/>
    <w:rPr>
      <w:rFonts w:ascii="楷体_GB2312" w:hAnsi="Arial" w:eastAsia="楷体_GB2312" w:cs="Times New Roman"/>
      <w:sz w:val="28"/>
      <w:szCs w:val="20"/>
    </w:rPr>
  </w:style>
  <w:style w:type="paragraph" w:styleId="19">
    <w:name w:val="Body Text Indent"/>
    <w:basedOn w:val="1"/>
    <w:link w:val="216"/>
    <w:qFormat/>
    <w:uiPriority w:val="0"/>
    <w:pPr>
      <w:ind w:firstLine="645"/>
    </w:pPr>
    <w:rPr>
      <w:rFonts w:ascii="楷体_GB2312" w:hAnsi="Calibri" w:eastAsia="楷体_GB2312" w:cs="Times New Roman"/>
      <w:sz w:val="32"/>
      <w:szCs w:val="20"/>
    </w:rPr>
  </w:style>
  <w:style w:type="paragraph" w:styleId="20">
    <w:name w:val="Block Text"/>
    <w:basedOn w:val="1"/>
    <w:qFormat/>
    <w:uiPriority w:val="0"/>
    <w:pPr>
      <w:widowControl/>
      <w:spacing w:before="100" w:beforeAutospacing="1" w:after="100" w:afterAutospacing="1" w:line="360" w:lineRule="auto"/>
      <w:ind w:left="1440" w:right="1440" w:firstLine="480"/>
      <w:jc w:val="left"/>
    </w:pPr>
    <w:rPr>
      <w:rFonts w:ascii="宋体" w:hAnsi="宋体" w:eastAsia="宋体" w:cs="Times New Roman"/>
      <w:sz w:val="24"/>
      <w:szCs w:val="24"/>
    </w:rPr>
  </w:style>
  <w:style w:type="paragraph" w:styleId="21">
    <w:name w:val="index 4"/>
    <w:basedOn w:val="1"/>
    <w:next w:val="1"/>
    <w:qFormat/>
    <w:uiPriority w:val="0"/>
    <w:pPr>
      <w:ind w:left="1260"/>
    </w:pPr>
    <w:rPr>
      <w:rFonts w:ascii="Calibri" w:hAnsi="Calibri" w:eastAsia="宋体" w:cs="Times New Roman"/>
      <w:szCs w:val="24"/>
    </w:rPr>
  </w:style>
  <w:style w:type="paragraph" w:styleId="22">
    <w:name w:val="toc 5"/>
    <w:basedOn w:val="1"/>
    <w:next w:val="1"/>
    <w:qFormat/>
    <w:uiPriority w:val="0"/>
    <w:pPr>
      <w:ind w:left="1680"/>
    </w:pPr>
    <w:rPr>
      <w:rFonts w:ascii="Calibri" w:hAnsi="Calibri" w:eastAsia="宋体" w:cs="Times New Roman"/>
      <w:szCs w:val="24"/>
    </w:rPr>
  </w:style>
  <w:style w:type="paragraph" w:styleId="23">
    <w:name w:val="toc 3"/>
    <w:basedOn w:val="1"/>
    <w:next w:val="1"/>
    <w:qFormat/>
    <w:uiPriority w:val="0"/>
    <w:pPr>
      <w:tabs>
        <w:tab w:val="right" w:leader="dot" w:pos="9440"/>
      </w:tabs>
      <w:spacing w:line="240" w:lineRule="exact"/>
      <w:ind w:left="539"/>
      <w:jc w:val="left"/>
    </w:pPr>
    <w:rPr>
      <w:rFonts w:ascii="黑体" w:hAnsi="宋体" w:eastAsia="黑体" w:cs="Times New Roman"/>
      <w:bCs/>
      <w:iCs/>
      <w:sz w:val="18"/>
      <w:szCs w:val="32"/>
    </w:rPr>
  </w:style>
  <w:style w:type="paragraph" w:styleId="24">
    <w:name w:val="Plain Text"/>
    <w:basedOn w:val="1"/>
    <w:link w:val="217"/>
    <w:qFormat/>
    <w:uiPriority w:val="99"/>
    <w:rPr>
      <w:rFonts w:ascii="宋体" w:hAnsi="Courier New" w:eastAsia="宋体" w:cs="Times New Roman"/>
      <w:szCs w:val="20"/>
    </w:rPr>
  </w:style>
  <w:style w:type="paragraph" w:styleId="25">
    <w:name w:val="toc 8"/>
    <w:basedOn w:val="1"/>
    <w:next w:val="1"/>
    <w:qFormat/>
    <w:uiPriority w:val="0"/>
    <w:pPr>
      <w:ind w:left="2940"/>
    </w:pPr>
    <w:rPr>
      <w:rFonts w:ascii="Calibri" w:hAnsi="Calibri" w:eastAsia="宋体" w:cs="Times New Roman"/>
      <w:szCs w:val="24"/>
    </w:rPr>
  </w:style>
  <w:style w:type="paragraph" w:styleId="26">
    <w:name w:val="Date"/>
    <w:basedOn w:val="1"/>
    <w:next w:val="1"/>
    <w:link w:val="289"/>
    <w:qFormat/>
    <w:uiPriority w:val="0"/>
    <w:rPr>
      <w:rFonts w:ascii="Calibri" w:hAnsi="Calibri" w:eastAsia="宋体" w:cs="Times New Roman"/>
      <w:sz w:val="24"/>
      <w:szCs w:val="20"/>
    </w:rPr>
  </w:style>
  <w:style w:type="paragraph" w:styleId="27">
    <w:name w:val="Body Text Indent 2"/>
    <w:basedOn w:val="1"/>
    <w:link w:val="286"/>
    <w:qFormat/>
    <w:uiPriority w:val="0"/>
    <w:pPr>
      <w:ind w:firstLine="560"/>
    </w:pPr>
    <w:rPr>
      <w:rFonts w:ascii="宋体" w:hAnsi="宋体" w:eastAsia="宋体" w:cs="Times New Roman"/>
      <w:sz w:val="28"/>
      <w:szCs w:val="24"/>
    </w:rPr>
  </w:style>
  <w:style w:type="paragraph" w:styleId="28">
    <w:name w:val="endnote text"/>
    <w:basedOn w:val="1"/>
    <w:link w:val="276"/>
    <w:qFormat/>
    <w:uiPriority w:val="0"/>
    <w:pPr>
      <w:jc w:val="left"/>
    </w:pPr>
    <w:rPr>
      <w:rFonts w:ascii="Times New Roman" w:hAnsi="Times New Roman" w:eastAsia="宋体" w:cs="Times New Roman"/>
      <w:b/>
      <w:szCs w:val="24"/>
    </w:rPr>
  </w:style>
  <w:style w:type="paragraph" w:styleId="29">
    <w:name w:val="Balloon Text"/>
    <w:basedOn w:val="1"/>
    <w:link w:val="290"/>
    <w:qFormat/>
    <w:uiPriority w:val="0"/>
    <w:rPr>
      <w:rFonts w:ascii="Calibri" w:hAnsi="Calibri" w:eastAsia="宋体" w:cs="Times New Roman"/>
      <w:sz w:val="18"/>
      <w:szCs w:val="18"/>
    </w:rPr>
  </w:style>
  <w:style w:type="paragraph" w:styleId="30">
    <w:name w:val="footer"/>
    <w:basedOn w:val="1"/>
    <w:link w:val="291"/>
    <w:qFormat/>
    <w:uiPriority w:val="99"/>
    <w:pPr>
      <w:tabs>
        <w:tab w:val="center" w:pos="4153"/>
        <w:tab w:val="right" w:pos="8306"/>
      </w:tabs>
      <w:jc w:val="left"/>
    </w:pPr>
    <w:rPr>
      <w:rFonts w:ascii="Calibri" w:hAnsi="Calibri" w:eastAsia="宋体" w:cs="Times New Roman"/>
      <w:sz w:val="18"/>
      <w:szCs w:val="20"/>
    </w:rPr>
  </w:style>
  <w:style w:type="paragraph" w:styleId="31">
    <w:name w:val="header"/>
    <w:basedOn w:val="1"/>
    <w:link w:val="288"/>
    <w:qFormat/>
    <w:uiPriority w:val="0"/>
    <w:pPr>
      <w:pBdr>
        <w:bottom w:val="single" w:color="auto" w:sz="6" w:space="1"/>
      </w:pBdr>
      <w:tabs>
        <w:tab w:val="center" w:pos="4153"/>
        <w:tab w:val="right" w:pos="8306"/>
      </w:tabs>
      <w:jc w:val="center"/>
    </w:pPr>
    <w:rPr>
      <w:rFonts w:ascii="Calibri" w:hAnsi="Calibri" w:eastAsia="宋体" w:cs="Times New Roman"/>
      <w:sz w:val="18"/>
      <w:szCs w:val="18"/>
    </w:rPr>
  </w:style>
  <w:style w:type="paragraph" w:styleId="32">
    <w:name w:val="toc 1"/>
    <w:basedOn w:val="1"/>
    <w:next w:val="1"/>
    <w:qFormat/>
    <w:uiPriority w:val="0"/>
    <w:pPr>
      <w:tabs>
        <w:tab w:val="right" w:leader="dot" w:pos="9440"/>
      </w:tabs>
      <w:spacing w:before="120" w:after="120" w:line="300" w:lineRule="exact"/>
      <w:jc w:val="left"/>
    </w:pPr>
    <w:rPr>
      <w:rFonts w:ascii="黑体" w:hAnsi="Calibri" w:eastAsia="黑体" w:cs="Times New Roman"/>
      <w:b/>
      <w:caps/>
      <w:sz w:val="18"/>
      <w:szCs w:val="28"/>
    </w:rPr>
  </w:style>
  <w:style w:type="paragraph" w:styleId="33">
    <w:name w:val="toc 4"/>
    <w:basedOn w:val="1"/>
    <w:next w:val="1"/>
    <w:qFormat/>
    <w:uiPriority w:val="0"/>
    <w:pPr>
      <w:ind w:left="1260"/>
    </w:pPr>
    <w:rPr>
      <w:rFonts w:ascii="Calibri" w:hAnsi="Calibri" w:eastAsia="宋体" w:cs="Times New Roman"/>
      <w:szCs w:val="24"/>
    </w:rPr>
  </w:style>
  <w:style w:type="paragraph" w:styleId="34">
    <w:name w:val="Subtitle"/>
    <w:basedOn w:val="1"/>
    <w:next w:val="1"/>
    <w:link w:val="223"/>
    <w:qFormat/>
    <w:uiPriority w:val="0"/>
    <w:pPr>
      <w:spacing w:line="590" w:lineRule="exact"/>
      <w:ind w:right="105"/>
    </w:pPr>
    <w:rPr>
      <w:rFonts w:ascii="Calibri" w:hAnsi="Calibri" w:eastAsia="黑体" w:cs="Times New Roman"/>
      <w:sz w:val="28"/>
      <w:szCs w:val="28"/>
    </w:rPr>
  </w:style>
  <w:style w:type="paragraph" w:styleId="35">
    <w:name w:val="List"/>
    <w:basedOn w:val="1"/>
    <w:qFormat/>
    <w:uiPriority w:val="0"/>
    <w:pPr>
      <w:ind w:left="420" w:hanging="420"/>
    </w:pPr>
    <w:rPr>
      <w:rFonts w:ascii="Times New Roman" w:hAnsi="Times New Roman" w:eastAsia="宋体" w:cs="Times New Roman"/>
      <w:szCs w:val="20"/>
    </w:rPr>
  </w:style>
  <w:style w:type="paragraph" w:styleId="36">
    <w:name w:val="footnote text"/>
    <w:basedOn w:val="1"/>
    <w:link w:val="352"/>
    <w:qFormat/>
    <w:uiPriority w:val="0"/>
    <w:pPr>
      <w:spacing w:line="312" w:lineRule="atLeast"/>
      <w:jc w:val="left"/>
    </w:pPr>
    <w:rPr>
      <w:rFonts w:ascii="Times New Roman" w:hAnsi="Times New Roman" w:eastAsia="宋体" w:cs="Times New Roman"/>
      <w:sz w:val="18"/>
      <w:szCs w:val="20"/>
    </w:rPr>
  </w:style>
  <w:style w:type="paragraph" w:styleId="37">
    <w:name w:val="toc 6"/>
    <w:basedOn w:val="1"/>
    <w:next w:val="1"/>
    <w:qFormat/>
    <w:uiPriority w:val="0"/>
    <w:pPr>
      <w:ind w:left="2100"/>
    </w:pPr>
    <w:rPr>
      <w:rFonts w:ascii="Calibri" w:hAnsi="Calibri" w:eastAsia="宋体" w:cs="Times New Roman"/>
      <w:szCs w:val="24"/>
    </w:rPr>
  </w:style>
  <w:style w:type="paragraph" w:styleId="38">
    <w:name w:val="Body Text Indent 3"/>
    <w:basedOn w:val="1"/>
    <w:link w:val="224"/>
    <w:qFormat/>
    <w:uiPriority w:val="0"/>
    <w:pPr>
      <w:ind w:firstLine="523"/>
    </w:pPr>
    <w:rPr>
      <w:rFonts w:ascii="仿宋_GB2312" w:hAnsi="宋体" w:eastAsia="仿宋_GB2312" w:cs="Times New Roman"/>
      <w:sz w:val="24"/>
      <w:szCs w:val="24"/>
    </w:rPr>
  </w:style>
  <w:style w:type="paragraph" w:styleId="39">
    <w:name w:val="table of figures"/>
    <w:basedOn w:val="1"/>
    <w:next w:val="1"/>
    <w:unhideWhenUsed/>
    <w:qFormat/>
    <w:uiPriority w:val="99"/>
  </w:style>
  <w:style w:type="paragraph" w:styleId="40">
    <w:name w:val="toc 2"/>
    <w:basedOn w:val="1"/>
    <w:next w:val="1"/>
    <w:qFormat/>
    <w:uiPriority w:val="0"/>
    <w:pPr>
      <w:tabs>
        <w:tab w:val="right" w:leader="dot" w:pos="9440"/>
      </w:tabs>
      <w:spacing w:line="260" w:lineRule="exact"/>
      <w:jc w:val="left"/>
    </w:pPr>
    <w:rPr>
      <w:rFonts w:ascii="黑体" w:hAnsi="Calibri" w:eastAsia="黑体" w:cs="Times New Roman"/>
      <w:b/>
      <w:bCs/>
      <w:smallCaps/>
      <w:sz w:val="18"/>
      <w:szCs w:val="44"/>
    </w:rPr>
  </w:style>
  <w:style w:type="paragraph" w:styleId="41">
    <w:name w:val="toc 9"/>
    <w:basedOn w:val="1"/>
    <w:next w:val="1"/>
    <w:qFormat/>
    <w:uiPriority w:val="0"/>
    <w:pPr>
      <w:ind w:left="3360"/>
    </w:pPr>
    <w:rPr>
      <w:rFonts w:ascii="Calibri" w:hAnsi="Calibri" w:eastAsia="宋体" w:cs="Times New Roman"/>
      <w:szCs w:val="24"/>
    </w:rPr>
  </w:style>
  <w:style w:type="paragraph" w:styleId="42">
    <w:name w:val="Body Text 2"/>
    <w:basedOn w:val="1"/>
    <w:link w:val="225"/>
    <w:qFormat/>
    <w:uiPriority w:val="0"/>
    <w:pPr>
      <w:jc w:val="center"/>
    </w:pPr>
    <w:rPr>
      <w:rFonts w:ascii="仿宋_GB2312" w:hAnsi="Calibri" w:eastAsia="仿宋_GB2312" w:cs="Times New Roman"/>
      <w:sz w:val="44"/>
      <w:szCs w:val="24"/>
    </w:rPr>
  </w:style>
  <w:style w:type="paragraph" w:styleId="43">
    <w:name w:val="HTML Preformatted"/>
    <w:basedOn w:val="1"/>
    <w:link w:val="2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4">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5">
    <w:name w:val="index 1"/>
    <w:basedOn w:val="1"/>
    <w:next w:val="1"/>
    <w:semiHidden/>
    <w:qFormat/>
    <w:uiPriority w:val="0"/>
    <w:rPr>
      <w:rFonts w:ascii="宋体" w:hAnsi="宋体" w:eastAsia="宋体" w:cs="Times New Roman"/>
      <w:szCs w:val="18"/>
    </w:rPr>
  </w:style>
  <w:style w:type="paragraph" w:styleId="46">
    <w:name w:val="index 2"/>
    <w:basedOn w:val="1"/>
    <w:next w:val="1"/>
    <w:semiHidden/>
    <w:qFormat/>
    <w:uiPriority w:val="0"/>
    <w:pPr>
      <w:ind w:left="200"/>
    </w:pPr>
    <w:rPr>
      <w:rFonts w:ascii="Calibri" w:hAnsi="Calibri" w:eastAsia="宋体" w:cs="Times New Roman"/>
      <w:szCs w:val="24"/>
    </w:rPr>
  </w:style>
  <w:style w:type="paragraph" w:styleId="47">
    <w:name w:val="Title"/>
    <w:basedOn w:val="1"/>
    <w:next w:val="1"/>
    <w:link w:val="420"/>
    <w:qFormat/>
    <w:uiPriority w:val="0"/>
    <w:pPr>
      <w:spacing w:before="240" w:after="60"/>
      <w:jc w:val="center"/>
      <w:outlineLvl w:val="0"/>
    </w:pPr>
    <w:rPr>
      <w:rFonts w:ascii="Cambria" w:hAnsi="Cambria" w:eastAsia="宋体" w:cs="Times New Roman"/>
      <w:b/>
      <w:bCs/>
      <w:sz w:val="32"/>
      <w:szCs w:val="32"/>
    </w:rPr>
  </w:style>
  <w:style w:type="paragraph" w:styleId="48">
    <w:name w:val="annotation subject"/>
    <w:basedOn w:val="16"/>
    <w:next w:val="16"/>
    <w:link w:val="227"/>
    <w:qFormat/>
    <w:uiPriority w:val="0"/>
    <w:rPr>
      <w:b/>
      <w:bCs/>
    </w:rPr>
  </w:style>
  <w:style w:type="paragraph" w:styleId="49">
    <w:name w:val="Body Text First Indent"/>
    <w:basedOn w:val="18"/>
    <w:link w:val="368"/>
    <w:qFormat/>
    <w:uiPriority w:val="0"/>
    <w:pPr>
      <w:spacing w:after="60" w:line="360" w:lineRule="atLeast"/>
      <w:ind w:left="72" w:right="30" w:firstLine="420"/>
      <w:jc w:val="center"/>
    </w:pPr>
    <w:rPr>
      <w:rFonts w:ascii="Times New Roman" w:hAnsi="Times New Roman" w:eastAsia="宋体"/>
      <w:szCs w:val="24"/>
    </w:rPr>
  </w:style>
  <w:style w:type="paragraph" w:styleId="50">
    <w:name w:val="Body Text First Indent 2"/>
    <w:basedOn w:val="19"/>
    <w:link w:val="482"/>
    <w:qFormat/>
    <w:uiPriority w:val="0"/>
    <w:pPr>
      <w:spacing w:before="240" w:line="360" w:lineRule="auto"/>
      <w:ind w:firstLine="420"/>
    </w:pPr>
    <w:rPr>
      <w:rFonts w:ascii="Times New Roman" w:hAnsi="Times New Roman" w:eastAsia="宋体"/>
      <w:sz w:val="21"/>
      <w:szCs w:val="24"/>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qFormat/>
    <w:uiPriority w:val="0"/>
    <w:rPr>
      <w:vertAlign w:val="superscript"/>
    </w:rPr>
  </w:style>
  <w:style w:type="character" w:styleId="56">
    <w:name w:val="page number"/>
    <w:basedOn w:val="53"/>
    <w:qFormat/>
    <w:uiPriority w:val="0"/>
  </w:style>
  <w:style w:type="character" w:styleId="57">
    <w:name w:val="FollowedHyperlink"/>
    <w:qFormat/>
    <w:uiPriority w:val="0"/>
    <w:rPr>
      <w:color w:val="800080"/>
      <w:u w:val="single"/>
    </w:rPr>
  </w:style>
  <w:style w:type="character" w:styleId="58">
    <w:name w:val="Emphasis"/>
    <w:qFormat/>
    <w:uiPriority w:val="0"/>
    <w:rPr>
      <w:i/>
      <w:iCs/>
    </w:rPr>
  </w:style>
  <w:style w:type="character" w:styleId="59">
    <w:name w:val="HTML Definition"/>
    <w:basedOn w:val="53"/>
    <w:unhideWhenUsed/>
    <w:qFormat/>
    <w:uiPriority w:val="99"/>
  </w:style>
  <w:style w:type="character" w:styleId="60">
    <w:name w:val="HTML Typewriter"/>
    <w:basedOn w:val="53"/>
    <w:unhideWhenUsed/>
    <w:qFormat/>
    <w:uiPriority w:val="99"/>
    <w:rPr>
      <w:rFonts w:ascii="monospace" w:hAnsi="monospace" w:eastAsia="monospace" w:cs="monospace"/>
      <w:sz w:val="20"/>
    </w:rPr>
  </w:style>
  <w:style w:type="character" w:styleId="61">
    <w:name w:val="HTML Acronym"/>
    <w:basedOn w:val="53"/>
    <w:unhideWhenUsed/>
    <w:qFormat/>
    <w:uiPriority w:val="99"/>
  </w:style>
  <w:style w:type="character" w:styleId="62">
    <w:name w:val="HTML Variable"/>
    <w:basedOn w:val="53"/>
    <w:unhideWhenUsed/>
    <w:qFormat/>
    <w:uiPriority w:val="99"/>
  </w:style>
  <w:style w:type="character" w:styleId="63">
    <w:name w:val="Hyperlink"/>
    <w:qFormat/>
    <w:uiPriority w:val="0"/>
    <w:rPr>
      <w:color w:val="0000FF"/>
      <w:u w:val="single"/>
    </w:rPr>
  </w:style>
  <w:style w:type="character" w:styleId="64">
    <w:name w:val="HTML Code"/>
    <w:basedOn w:val="53"/>
    <w:unhideWhenUsed/>
    <w:qFormat/>
    <w:uiPriority w:val="99"/>
    <w:rPr>
      <w:rFonts w:hint="default" w:ascii="monospace" w:hAnsi="monospace" w:eastAsia="monospace" w:cs="monospace"/>
      <w:sz w:val="20"/>
    </w:rPr>
  </w:style>
  <w:style w:type="character" w:styleId="65">
    <w:name w:val="annotation reference"/>
    <w:qFormat/>
    <w:uiPriority w:val="0"/>
    <w:rPr>
      <w:sz w:val="21"/>
      <w:szCs w:val="21"/>
    </w:rPr>
  </w:style>
  <w:style w:type="character" w:styleId="66">
    <w:name w:val="HTML Cite"/>
    <w:basedOn w:val="53"/>
    <w:unhideWhenUsed/>
    <w:qFormat/>
    <w:uiPriority w:val="99"/>
  </w:style>
  <w:style w:type="character" w:styleId="67">
    <w:name w:val="footnote reference"/>
    <w:qFormat/>
    <w:uiPriority w:val="0"/>
    <w:rPr>
      <w:rFonts w:hint="default" w:ascii="Times New Roman" w:hAnsi="Times New Roman" w:cs="Times New Roman"/>
      <w:vertAlign w:val="superscript"/>
    </w:rPr>
  </w:style>
  <w:style w:type="character" w:styleId="68">
    <w:name w:val="HTML Keyboard"/>
    <w:basedOn w:val="53"/>
    <w:unhideWhenUsed/>
    <w:qFormat/>
    <w:uiPriority w:val="99"/>
    <w:rPr>
      <w:rFonts w:hint="default" w:ascii="monospace" w:hAnsi="monospace" w:eastAsia="monospace" w:cs="monospace"/>
      <w:sz w:val="20"/>
    </w:rPr>
  </w:style>
  <w:style w:type="character" w:styleId="69">
    <w:name w:val="HTML Sample"/>
    <w:basedOn w:val="53"/>
    <w:unhideWhenUsed/>
    <w:qFormat/>
    <w:uiPriority w:val="99"/>
    <w:rPr>
      <w:rFonts w:hint="default" w:ascii="monospace" w:hAnsi="monospace" w:eastAsia="monospace" w:cs="monospace"/>
    </w:rPr>
  </w:style>
  <w:style w:type="character" w:customStyle="1" w:styleId="70">
    <w:name w:val="Heading 6 Char"/>
    <w:basedOn w:val="53"/>
    <w:qFormat/>
    <w:uiPriority w:val="9"/>
    <w:rPr>
      <w:rFonts w:ascii="Arial" w:hAnsi="Arial" w:eastAsia="Arial" w:cs="Arial"/>
      <w:b/>
      <w:bCs/>
      <w:sz w:val="22"/>
      <w:szCs w:val="22"/>
    </w:rPr>
  </w:style>
  <w:style w:type="character" w:customStyle="1" w:styleId="71">
    <w:name w:val="Heading 7 Char"/>
    <w:basedOn w:val="53"/>
    <w:qFormat/>
    <w:uiPriority w:val="9"/>
    <w:rPr>
      <w:rFonts w:ascii="Arial" w:hAnsi="Arial" w:eastAsia="Arial" w:cs="Arial"/>
      <w:b/>
      <w:bCs/>
      <w:i/>
      <w:iCs/>
      <w:sz w:val="22"/>
      <w:szCs w:val="22"/>
    </w:rPr>
  </w:style>
  <w:style w:type="character" w:customStyle="1" w:styleId="72">
    <w:name w:val="Heading 8 Char"/>
    <w:basedOn w:val="53"/>
    <w:qFormat/>
    <w:uiPriority w:val="9"/>
    <w:rPr>
      <w:rFonts w:ascii="Arial" w:hAnsi="Arial" w:eastAsia="Arial" w:cs="Arial"/>
      <w:i/>
      <w:iCs/>
      <w:sz w:val="22"/>
      <w:szCs w:val="22"/>
    </w:rPr>
  </w:style>
  <w:style w:type="character" w:customStyle="1" w:styleId="73">
    <w:name w:val="Heading 9 Char"/>
    <w:basedOn w:val="53"/>
    <w:qFormat/>
    <w:uiPriority w:val="9"/>
    <w:rPr>
      <w:rFonts w:ascii="Arial" w:hAnsi="Arial" w:eastAsia="Arial" w:cs="Arial"/>
      <w:i/>
      <w:iCs/>
      <w:sz w:val="21"/>
      <w:szCs w:val="21"/>
    </w:rPr>
  </w:style>
  <w:style w:type="character" w:customStyle="1" w:styleId="74">
    <w:name w:val="Subtitle Char"/>
    <w:basedOn w:val="53"/>
    <w:qFormat/>
    <w:uiPriority w:val="11"/>
    <w:rPr>
      <w:sz w:val="24"/>
      <w:szCs w:val="24"/>
    </w:rPr>
  </w:style>
  <w:style w:type="character" w:customStyle="1" w:styleId="75">
    <w:name w:val="Caption Char"/>
    <w:qFormat/>
    <w:uiPriority w:val="99"/>
  </w:style>
  <w:style w:type="table" w:customStyle="1" w:styleId="76">
    <w:name w:val="Table Grid Light"/>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无格式表格 11"/>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5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5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5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5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5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5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5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5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5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5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5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5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5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5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5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5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5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5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5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5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5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5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5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basedOn w:val="5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5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5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5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5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5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5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basedOn w:val="5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18">
    <w:name w:val="Grid Table 6 Colorful - Accent 1"/>
    <w:basedOn w:val="5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9">
    <w:name w:val="Grid Table 6 Colorful - Accent 2"/>
    <w:basedOn w:val="5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0">
    <w:name w:val="Grid Table 6 Colorful - Accent 3"/>
    <w:basedOn w:val="5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21">
    <w:name w:val="Grid Table 6 Colorful - Accent 4"/>
    <w:basedOn w:val="5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2">
    <w:name w:val="Grid Table 6 Colorful - Accent 5"/>
    <w:basedOn w:val="5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3">
    <w:name w:val="Grid Table 6 Colorful - Accent 6"/>
    <w:basedOn w:val="5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24">
    <w:name w:val="网格表 7 彩色1"/>
    <w:basedOn w:val="5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25">
    <w:name w:val="Grid Table 7 Colorful - Accent 1"/>
    <w:basedOn w:val="5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6">
    <w:name w:val="Grid Table 7 Colorful - Accent 2"/>
    <w:basedOn w:val="5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7">
    <w:name w:val="Grid Table 7 Colorful - Accent 3"/>
    <w:basedOn w:val="5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28">
    <w:name w:val="Grid Table 7 Colorful - Accent 4"/>
    <w:basedOn w:val="5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9">
    <w:name w:val="Grid Table 7 Colorful - Accent 5"/>
    <w:basedOn w:val="5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0">
    <w:name w:val="Grid Table 7 Colorful - Accent 6"/>
    <w:basedOn w:val="5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31">
    <w:name w:val="清单表 1 浅色1"/>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basedOn w:val="5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5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5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5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5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5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5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5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5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5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5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5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5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5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5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5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5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5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5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basedOn w:val="5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5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5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5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5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5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5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basedOn w:val="5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7">
    <w:name w:val="List Table 6 Colorful - Accent 1"/>
    <w:basedOn w:val="51"/>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8">
    <w:name w:val="List Table 6 Colorful - Accent 2"/>
    <w:basedOn w:val="51"/>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9">
    <w:name w:val="List Table 6 Colorful - Accent 3"/>
    <w:basedOn w:val="51"/>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0">
    <w:name w:val="List Table 6 Colorful - Accent 4"/>
    <w:basedOn w:val="51"/>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1">
    <w:name w:val="List Table 6 Colorful - Accent 5"/>
    <w:basedOn w:val="51"/>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2">
    <w:name w:val="List Table 6 Colorful - Accent 6"/>
    <w:basedOn w:val="51"/>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3">
    <w:name w:val="清单表 7 彩色1"/>
    <w:basedOn w:val="5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74">
    <w:name w:val="List Table 7 Colorful - Accent 1"/>
    <w:basedOn w:val="51"/>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5">
    <w:name w:val="List Table 7 Colorful - Accent 2"/>
    <w:basedOn w:val="51"/>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6">
    <w:name w:val="List Table 7 Colorful - Accent 3"/>
    <w:basedOn w:val="51"/>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7">
    <w:name w:val="List Table 7 Colorful - Accent 4"/>
    <w:basedOn w:val="51"/>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8">
    <w:name w:val="List Table 7 Colorful - Accent 5"/>
    <w:basedOn w:val="51"/>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9">
    <w:name w:val="List Table 7 Colorful - Accent 6"/>
    <w:basedOn w:val="51"/>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0">
    <w:name w:val="Lined - Accent"/>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5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5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5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5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5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5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5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5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5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5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5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5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5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5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5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Endnote Text Char"/>
    <w:qFormat/>
    <w:uiPriority w:val="99"/>
    <w:rPr>
      <w:sz w:val="20"/>
    </w:rPr>
  </w:style>
  <w:style w:type="character" w:customStyle="1" w:styleId="202">
    <w:name w:val="标题 1 Char"/>
    <w:basedOn w:val="53"/>
    <w:link w:val="2"/>
    <w:qFormat/>
    <w:uiPriority w:val="0"/>
    <w:rPr>
      <w:rFonts w:ascii="楷体_GB2312" w:hAnsi="Calibri" w:eastAsia="楷体_GB2312" w:cs="Times New Roman"/>
      <w:sz w:val="28"/>
      <w:szCs w:val="20"/>
    </w:rPr>
  </w:style>
  <w:style w:type="character" w:customStyle="1" w:styleId="203">
    <w:name w:val="标题 2 Char"/>
    <w:basedOn w:val="53"/>
    <w:qFormat/>
    <w:uiPriority w:val="0"/>
    <w:rPr>
      <w:rFonts w:asciiTheme="majorHAnsi" w:hAnsiTheme="majorHAnsi" w:eastAsiaTheme="majorEastAsia" w:cstheme="majorBidi"/>
      <w:b/>
      <w:bCs/>
      <w:sz w:val="32"/>
      <w:szCs w:val="32"/>
    </w:rPr>
  </w:style>
  <w:style w:type="character" w:customStyle="1" w:styleId="204">
    <w:name w:val="标题 3 Char"/>
    <w:basedOn w:val="53"/>
    <w:link w:val="4"/>
    <w:qFormat/>
    <w:uiPriority w:val="0"/>
    <w:rPr>
      <w:rFonts w:ascii="Calibri" w:hAnsi="Calibri" w:eastAsia="宋体" w:cs="Times New Roman"/>
      <w:b/>
      <w:sz w:val="32"/>
      <w:szCs w:val="20"/>
    </w:rPr>
  </w:style>
  <w:style w:type="character" w:customStyle="1" w:styleId="205">
    <w:name w:val="标题 4 Char"/>
    <w:basedOn w:val="53"/>
    <w:link w:val="6"/>
    <w:qFormat/>
    <w:uiPriority w:val="0"/>
    <w:rPr>
      <w:rFonts w:ascii="Arial" w:hAnsi="Arial" w:eastAsia="黑体" w:cs="Times New Roman"/>
      <w:b/>
      <w:bCs/>
      <w:sz w:val="28"/>
      <w:szCs w:val="28"/>
    </w:rPr>
  </w:style>
  <w:style w:type="character" w:customStyle="1" w:styleId="206">
    <w:name w:val="标题 5 Char"/>
    <w:basedOn w:val="53"/>
    <w:link w:val="7"/>
    <w:qFormat/>
    <w:uiPriority w:val="0"/>
    <w:rPr>
      <w:rFonts w:ascii="宋体" w:hAnsi="宋体" w:eastAsia="宋体" w:cs="Times New Roman"/>
      <w:b/>
      <w:bCs/>
      <w:szCs w:val="24"/>
    </w:rPr>
  </w:style>
  <w:style w:type="character" w:customStyle="1" w:styleId="207">
    <w:name w:val="标题 6 Char"/>
    <w:basedOn w:val="53"/>
    <w:link w:val="8"/>
    <w:qFormat/>
    <w:uiPriority w:val="0"/>
    <w:rPr>
      <w:rFonts w:ascii="Arial" w:hAnsi="Arial" w:eastAsia="黑体" w:cs="Times New Roman"/>
      <w:b/>
      <w:bCs/>
      <w:sz w:val="24"/>
      <w:szCs w:val="24"/>
    </w:rPr>
  </w:style>
  <w:style w:type="character" w:customStyle="1" w:styleId="208">
    <w:name w:val="标题 7 Char"/>
    <w:basedOn w:val="53"/>
    <w:link w:val="9"/>
    <w:qFormat/>
    <w:uiPriority w:val="0"/>
    <w:rPr>
      <w:rFonts w:ascii="Calibri" w:hAnsi="Calibri" w:eastAsia="宋体" w:cs="Times New Roman"/>
      <w:b/>
      <w:bCs/>
      <w:sz w:val="24"/>
      <w:szCs w:val="24"/>
    </w:rPr>
  </w:style>
  <w:style w:type="character" w:customStyle="1" w:styleId="209">
    <w:name w:val="标题 8 Char"/>
    <w:basedOn w:val="53"/>
    <w:link w:val="10"/>
    <w:qFormat/>
    <w:uiPriority w:val="0"/>
    <w:rPr>
      <w:rFonts w:ascii="Cambria" w:hAnsi="Cambria" w:eastAsia="宋体" w:cs="Times New Roman"/>
      <w:sz w:val="24"/>
      <w:szCs w:val="24"/>
    </w:rPr>
  </w:style>
  <w:style w:type="character" w:customStyle="1" w:styleId="210">
    <w:name w:val="标题 9 Char"/>
    <w:basedOn w:val="53"/>
    <w:link w:val="11"/>
    <w:qFormat/>
    <w:uiPriority w:val="0"/>
    <w:rPr>
      <w:rFonts w:ascii="Cambria" w:hAnsi="Cambria" w:eastAsia="宋体" w:cs="Times New Roman"/>
      <w:szCs w:val="21"/>
    </w:rPr>
  </w:style>
  <w:style w:type="paragraph" w:customStyle="1" w:styleId="211">
    <w:name w:val="无间隔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12">
    <w:name w:val="文档结构图 Char"/>
    <w:basedOn w:val="53"/>
    <w:link w:val="15"/>
    <w:qFormat/>
    <w:uiPriority w:val="0"/>
    <w:rPr>
      <w:rFonts w:ascii="Calibri" w:hAnsi="Calibri" w:eastAsia="宋体" w:cs="Times New Roman"/>
      <w:szCs w:val="24"/>
      <w:shd w:val="clear" w:color="auto" w:fill="000080"/>
    </w:rPr>
  </w:style>
  <w:style w:type="character" w:customStyle="1" w:styleId="213">
    <w:name w:val="批注文字 Char"/>
    <w:basedOn w:val="53"/>
    <w:link w:val="16"/>
    <w:qFormat/>
    <w:uiPriority w:val="0"/>
    <w:rPr>
      <w:rFonts w:ascii="Calibri" w:hAnsi="Calibri" w:eastAsia="宋体" w:cs="Times New Roman"/>
      <w:szCs w:val="24"/>
    </w:rPr>
  </w:style>
  <w:style w:type="character" w:customStyle="1" w:styleId="214">
    <w:name w:val="正文文本 3 Char"/>
    <w:basedOn w:val="53"/>
    <w:qFormat/>
    <w:uiPriority w:val="0"/>
    <w:rPr>
      <w:sz w:val="16"/>
      <w:szCs w:val="16"/>
    </w:rPr>
  </w:style>
  <w:style w:type="character" w:customStyle="1" w:styleId="215">
    <w:name w:val="正文文本 Char"/>
    <w:basedOn w:val="53"/>
    <w:link w:val="18"/>
    <w:qFormat/>
    <w:uiPriority w:val="0"/>
    <w:rPr>
      <w:rFonts w:ascii="楷体_GB2312" w:hAnsi="Arial" w:eastAsia="楷体_GB2312" w:cs="Times New Roman"/>
      <w:sz w:val="28"/>
      <w:szCs w:val="20"/>
    </w:rPr>
  </w:style>
  <w:style w:type="character" w:customStyle="1" w:styleId="216">
    <w:name w:val="正文文本缩进 Char"/>
    <w:basedOn w:val="53"/>
    <w:link w:val="19"/>
    <w:qFormat/>
    <w:uiPriority w:val="0"/>
    <w:rPr>
      <w:rFonts w:ascii="楷体_GB2312" w:hAnsi="Calibri" w:eastAsia="楷体_GB2312" w:cs="Times New Roman"/>
      <w:sz w:val="32"/>
      <w:szCs w:val="20"/>
    </w:rPr>
  </w:style>
  <w:style w:type="character" w:customStyle="1" w:styleId="217">
    <w:name w:val="纯文本 Char"/>
    <w:basedOn w:val="53"/>
    <w:link w:val="24"/>
    <w:qFormat/>
    <w:uiPriority w:val="99"/>
    <w:rPr>
      <w:rFonts w:ascii="宋体" w:hAnsi="Courier New" w:eastAsia="宋体" w:cs="Times New Roman"/>
      <w:szCs w:val="20"/>
    </w:rPr>
  </w:style>
  <w:style w:type="character" w:customStyle="1" w:styleId="218">
    <w:name w:val="日期 Char"/>
    <w:basedOn w:val="53"/>
    <w:qFormat/>
    <w:uiPriority w:val="0"/>
  </w:style>
  <w:style w:type="character" w:customStyle="1" w:styleId="219">
    <w:name w:val="正文文本缩进 2 Char"/>
    <w:basedOn w:val="53"/>
    <w:qFormat/>
    <w:uiPriority w:val="0"/>
  </w:style>
  <w:style w:type="character" w:customStyle="1" w:styleId="220">
    <w:name w:val="批注框文本 Char"/>
    <w:basedOn w:val="53"/>
    <w:qFormat/>
    <w:uiPriority w:val="0"/>
    <w:rPr>
      <w:sz w:val="18"/>
      <w:szCs w:val="18"/>
    </w:rPr>
  </w:style>
  <w:style w:type="character" w:customStyle="1" w:styleId="221">
    <w:name w:val="页脚 Char"/>
    <w:basedOn w:val="53"/>
    <w:qFormat/>
    <w:uiPriority w:val="99"/>
    <w:rPr>
      <w:sz w:val="18"/>
      <w:szCs w:val="18"/>
    </w:rPr>
  </w:style>
  <w:style w:type="character" w:customStyle="1" w:styleId="222">
    <w:name w:val="页眉 Char"/>
    <w:basedOn w:val="53"/>
    <w:qFormat/>
    <w:uiPriority w:val="0"/>
    <w:rPr>
      <w:sz w:val="18"/>
      <w:szCs w:val="18"/>
    </w:rPr>
  </w:style>
  <w:style w:type="character" w:customStyle="1" w:styleId="223">
    <w:name w:val="副标题 Char"/>
    <w:basedOn w:val="53"/>
    <w:link w:val="34"/>
    <w:qFormat/>
    <w:uiPriority w:val="0"/>
    <w:rPr>
      <w:rFonts w:ascii="Calibri" w:hAnsi="Calibri" w:eastAsia="黑体" w:cs="Times New Roman"/>
      <w:sz w:val="28"/>
      <w:szCs w:val="28"/>
    </w:rPr>
  </w:style>
  <w:style w:type="character" w:customStyle="1" w:styleId="224">
    <w:name w:val="正文文本缩进 3 Char"/>
    <w:basedOn w:val="53"/>
    <w:link w:val="38"/>
    <w:qFormat/>
    <w:uiPriority w:val="0"/>
    <w:rPr>
      <w:rFonts w:ascii="仿宋_GB2312" w:hAnsi="宋体" w:eastAsia="仿宋_GB2312" w:cs="Times New Roman"/>
      <w:sz w:val="24"/>
      <w:szCs w:val="24"/>
    </w:rPr>
  </w:style>
  <w:style w:type="character" w:customStyle="1" w:styleId="225">
    <w:name w:val="正文文本 2 Char"/>
    <w:basedOn w:val="53"/>
    <w:link w:val="42"/>
    <w:qFormat/>
    <w:uiPriority w:val="0"/>
    <w:rPr>
      <w:rFonts w:ascii="仿宋_GB2312" w:hAnsi="Calibri" w:eastAsia="仿宋_GB2312" w:cs="Times New Roman"/>
      <w:sz w:val="44"/>
      <w:szCs w:val="24"/>
    </w:rPr>
  </w:style>
  <w:style w:type="character" w:customStyle="1" w:styleId="226">
    <w:name w:val="HTML 预设格式 Char"/>
    <w:basedOn w:val="53"/>
    <w:link w:val="43"/>
    <w:qFormat/>
    <w:uiPriority w:val="0"/>
    <w:rPr>
      <w:rFonts w:ascii="黑体" w:hAnsi="Courier New" w:eastAsia="黑体" w:cs="Courier New"/>
      <w:sz w:val="20"/>
      <w:szCs w:val="20"/>
    </w:rPr>
  </w:style>
  <w:style w:type="character" w:customStyle="1" w:styleId="227">
    <w:name w:val="批注主题 Char"/>
    <w:basedOn w:val="213"/>
    <w:link w:val="48"/>
    <w:qFormat/>
    <w:uiPriority w:val="0"/>
    <w:rPr>
      <w:rFonts w:ascii="Calibri" w:hAnsi="Calibri" w:eastAsia="宋体" w:cs="Times New Roman"/>
      <w:b/>
      <w:bCs/>
      <w:szCs w:val="24"/>
    </w:rPr>
  </w:style>
  <w:style w:type="character" w:customStyle="1" w:styleId="228">
    <w:name w:val="样式 Char"/>
    <w:link w:val="229"/>
    <w:qFormat/>
    <w:uiPriority w:val="0"/>
    <w:rPr>
      <w:rFonts w:ascii="宋体" w:hAnsi="宋体" w:cs="宋体"/>
      <w:sz w:val="24"/>
      <w:szCs w:val="24"/>
    </w:rPr>
  </w:style>
  <w:style w:type="paragraph" w:customStyle="1" w:styleId="229">
    <w:name w:val="样式"/>
    <w:link w:val="228"/>
    <w:qFormat/>
    <w:uiPriority w:val="0"/>
    <w:pPr>
      <w:widowControl w:val="0"/>
    </w:pPr>
    <w:rPr>
      <w:rFonts w:ascii="宋体" w:hAnsi="宋体" w:cs="宋体" w:eastAsiaTheme="minorEastAsia"/>
      <w:sz w:val="24"/>
      <w:szCs w:val="24"/>
      <w:lang w:val="en-US" w:eastAsia="zh-CN" w:bidi="ar-SA"/>
    </w:rPr>
  </w:style>
  <w:style w:type="character" w:customStyle="1" w:styleId="230">
    <w:name w:val="jj1"/>
    <w:qFormat/>
    <w:uiPriority w:val="0"/>
    <w:rPr>
      <w:sz w:val="20"/>
      <w:szCs w:val="20"/>
      <w:u w:val="none"/>
    </w:rPr>
  </w:style>
  <w:style w:type="character" w:customStyle="1" w:styleId="231">
    <w:name w:val="访问过的超链接1"/>
    <w:qFormat/>
    <w:uiPriority w:val="0"/>
    <w:rPr>
      <w:color w:val="800080"/>
      <w:u w:val="single"/>
    </w:rPr>
  </w:style>
  <w:style w:type="character" w:customStyle="1" w:styleId="232">
    <w:name w:val="列出段落 Char"/>
    <w:link w:val="233"/>
    <w:qFormat/>
    <w:uiPriority w:val="0"/>
    <w:rPr>
      <w:rFonts w:ascii="Calibri" w:hAnsi="Calibri"/>
      <w:sz w:val="24"/>
      <w:szCs w:val="24"/>
      <w:lang w:eastAsia="en-US" w:bidi="en-US"/>
    </w:rPr>
  </w:style>
  <w:style w:type="paragraph" w:customStyle="1" w:styleId="233">
    <w:name w:val="列出段落1"/>
    <w:basedOn w:val="1"/>
    <w:link w:val="232"/>
    <w:qFormat/>
    <w:uiPriority w:val="0"/>
    <w:pPr>
      <w:widowControl/>
      <w:ind w:left="720"/>
      <w:contextualSpacing/>
      <w:jc w:val="left"/>
    </w:pPr>
    <w:rPr>
      <w:rFonts w:ascii="Calibri" w:hAnsi="Calibri"/>
      <w:sz w:val="24"/>
      <w:szCs w:val="24"/>
      <w:lang w:eastAsia="en-US" w:bidi="en-US"/>
    </w:rPr>
  </w:style>
  <w:style w:type="character" w:customStyle="1" w:styleId="234">
    <w:name w:val="正文缩进 Char"/>
    <w:link w:val="5"/>
    <w:qFormat/>
    <w:uiPriority w:val="0"/>
    <w:rPr>
      <w:rFonts w:ascii="Calibri" w:hAnsi="Calibri" w:eastAsia="宋体" w:cs="Times New Roman"/>
      <w:szCs w:val="20"/>
    </w:rPr>
  </w:style>
  <w:style w:type="character" w:customStyle="1" w:styleId="235">
    <w:name w:val="标题2 Char"/>
    <w:qFormat/>
    <w:uiPriority w:val="0"/>
    <w:rPr>
      <w:rFonts w:ascii="方正楷体_GBK" w:hAnsi="Book Antiqua" w:eastAsia="方正楷体_GBK"/>
      <w:sz w:val="32"/>
      <w:lang w:val="en-US" w:eastAsia="zh-CN" w:bidi="ar-SA"/>
    </w:rPr>
  </w:style>
  <w:style w:type="paragraph" w:customStyle="1" w:styleId="236">
    <w:name w:val="二级目录"/>
    <w:next w:val="1"/>
    <w:qFormat/>
    <w:uiPriority w:val="0"/>
    <w:pPr>
      <w:tabs>
        <w:tab w:val="left" w:pos="720"/>
      </w:tabs>
      <w:ind w:left="720" w:hanging="720"/>
      <w:outlineLvl w:val="1"/>
    </w:pPr>
    <w:rPr>
      <w:rFonts w:ascii="Calibri" w:hAnsi="Calibri" w:eastAsia="宋体" w:cs="Times New Roman"/>
      <w:b/>
      <w:sz w:val="30"/>
      <w:szCs w:val="28"/>
      <w:lang w:val="en-US" w:eastAsia="zh-CN" w:bidi="ar-SA"/>
    </w:rPr>
  </w:style>
  <w:style w:type="paragraph" w:customStyle="1" w:styleId="237">
    <w:name w:val="正本首行缩进2字符（WebRay）"/>
    <w:basedOn w:val="1"/>
    <w:qFormat/>
    <w:uiPriority w:val="0"/>
    <w:pPr>
      <w:widowControl/>
      <w:spacing w:line="360" w:lineRule="auto"/>
      <w:ind w:firstLine="200"/>
      <w:jc w:val="left"/>
    </w:pPr>
    <w:rPr>
      <w:rFonts w:ascii="Calibri" w:hAnsi="Calibri" w:eastAsia="宋体" w:cs="Times New Roman"/>
      <w:sz w:val="24"/>
      <w:szCs w:val="24"/>
    </w:rPr>
  </w:style>
  <w:style w:type="paragraph" w:customStyle="1" w:styleId="238">
    <w:name w:val="纯文本1"/>
    <w:basedOn w:val="1"/>
    <w:qFormat/>
    <w:uiPriority w:val="0"/>
    <w:rPr>
      <w:rFonts w:ascii="宋体" w:hAnsi="Courier New" w:eastAsia="宋体" w:cs="Calibri"/>
      <w:szCs w:val="20"/>
    </w:rPr>
  </w:style>
  <w:style w:type="paragraph" w:customStyle="1" w:styleId="23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0">
    <w:name w:val="Char Char1 Char Char Char Char"/>
    <w:basedOn w:val="1"/>
    <w:qFormat/>
    <w:uiPriority w:val="0"/>
    <w:rPr>
      <w:rFonts w:ascii="Calibri" w:hAnsi="Calibri" w:eastAsia="宋体" w:cs="Times New Roman"/>
      <w:szCs w:val="24"/>
    </w:rPr>
  </w:style>
  <w:style w:type="paragraph" w:customStyle="1" w:styleId="241">
    <w:name w:val="Char Char Char Char1 Char Char"/>
    <w:basedOn w:val="1"/>
    <w:qFormat/>
    <w:uiPriority w:val="0"/>
    <w:pPr>
      <w:tabs>
        <w:tab w:val="left" w:pos="360"/>
      </w:tabs>
    </w:pPr>
    <w:rPr>
      <w:rFonts w:ascii="Calibri" w:hAnsi="Calibri" w:eastAsia="宋体" w:cs="Times New Roman"/>
      <w:sz w:val="24"/>
      <w:szCs w:val="24"/>
    </w:rPr>
  </w:style>
  <w:style w:type="paragraph" w:customStyle="1" w:styleId="242">
    <w:name w:val="附录1"/>
    <w:qFormat/>
    <w:uiPriority w:val="0"/>
    <w:pPr>
      <w:numPr>
        <w:ilvl w:val="0"/>
        <w:numId w:val="1"/>
      </w:numPr>
      <w:tabs>
        <w:tab w:val="left" w:pos="5443"/>
        <w:tab w:val="clear" w:pos="907"/>
      </w:tabs>
      <w:spacing w:before="240" w:line="600" w:lineRule="atLeast"/>
      <w:ind w:left="5443"/>
    </w:pPr>
    <w:rPr>
      <w:rFonts w:ascii="Calibri" w:hAnsi="Calibri" w:eastAsia="宋体" w:cs="Times New Roman"/>
      <w:b/>
      <w:i/>
      <w:sz w:val="28"/>
      <w:lang w:val="en-US" w:eastAsia="zh-CN" w:bidi="ar-SA"/>
    </w:rPr>
  </w:style>
  <w:style w:type="paragraph" w:customStyle="1" w:styleId="243">
    <w:name w:val="第四级"/>
    <w:basedOn w:val="1"/>
    <w:next w:val="1"/>
    <w:qFormat/>
    <w:uiPriority w:val="0"/>
    <w:pPr>
      <w:numPr>
        <w:ilvl w:val="3"/>
        <w:numId w:val="2"/>
      </w:numPr>
      <w:spacing w:line="360" w:lineRule="auto"/>
    </w:pPr>
    <w:rPr>
      <w:rFonts w:ascii="宋体" w:hAnsi="宋体" w:eastAsia="仿宋" w:cs="Times New Roman"/>
      <w:sz w:val="28"/>
      <w:szCs w:val="21"/>
    </w:rPr>
  </w:style>
  <w:style w:type="paragraph" w:customStyle="1" w:styleId="244">
    <w:name w:val="标题1"/>
    <w:basedOn w:val="1"/>
    <w:next w:val="1"/>
    <w:qFormat/>
    <w:uiPriority w:val="0"/>
    <w:pPr>
      <w:tabs>
        <w:tab w:val="left" w:pos="9193"/>
        <w:tab w:val="left" w:pos="9827"/>
      </w:tabs>
      <w:spacing w:line="700" w:lineRule="atLeast"/>
      <w:jc w:val="center"/>
    </w:pPr>
    <w:rPr>
      <w:rFonts w:ascii="Calibri" w:hAnsi="Calibri" w:eastAsia="方正小标宋_GBK" w:cs="Times New Roman"/>
      <w:sz w:val="44"/>
      <w:szCs w:val="24"/>
    </w:rPr>
  </w:style>
  <w:style w:type="paragraph" w:customStyle="1" w:styleId="245">
    <w:name w:val="正文 1.1"/>
    <w:basedOn w:val="1"/>
    <w:next w:val="246"/>
    <w:qFormat/>
    <w:uiPriority w:val="0"/>
    <w:pPr>
      <w:numPr>
        <w:ilvl w:val="1"/>
        <w:numId w:val="2"/>
      </w:numPr>
      <w:tabs>
        <w:tab w:val="clear" w:pos="851"/>
      </w:tabs>
      <w:spacing w:line="360" w:lineRule="auto"/>
      <w:ind w:left="980" w:hanging="980"/>
      <w:outlineLvl w:val="1"/>
    </w:pPr>
    <w:rPr>
      <w:rFonts w:ascii="仿宋" w:hAnsi="仿宋" w:eastAsia="仿宋" w:cs="Times New Roman"/>
      <w:b/>
      <w:sz w:val="28"/>
      <w:szCs w:val="21"/>
    </w:rPr>
  </w:style>
  <w:style w:type="paragraph" w:customStyle="1" w:styleId="246">
    <w:name w:val="正文 1.1.1"/>
    <w:basedOn w:val="1"/>
    <w:next w:val="1"/>
    <w:qFormat/>
    <w:uiPriority w:val="0"/>
    <w:pPr>
      <w:numPr>
        <w:ilvl w:val="2"/>
        <w:numId w:val="2"/>
      </w:numPr>
      <w:spacing w:line="360" w:lineRule="auto"/>
      <w:outlineLvl w:val="2"/>
    </w:pPr>
    <w:rPr>
      <w:rFonts w:ascii="宋体" w:hAnsi="宋体" w:eastAsia="宋体" w:cs="Times New Roman"/>
      <w:color w:val="000000"/>
      <w:sz w:val="28"/>
      <w:szCs w:val="21"/>
    </w:rPr>
  </w:style>
  <w:style w:type="paragraph" w:customStyle="1" w:styleId="247">
    <w:name w:val="xl47"/>
    <w:basedOn w:val="1"/>
    <w:qFormat/>
    <w:uiPriority w:val="0"/>
    <w:pPr>
      <w:widowControl/>
      <w:spacing w:before="100" w:beforeAutospacing="1" w:after="100" w:afterAutospacing="1"/>
      <w:jc w:val="center"/>
    </w:pPr>
    <w:rPr>
      <w:rFonts w:hint="eastAsia" w:ascii="方正姚体" w:hAnsi="宋体" w:eastAsia="方正姚体" w:cs="Times New Roman"/>
      <w:b/>
      <w:bCs/>
      <w:sz w:val="36"/>
      <w:szCs w:val="36"/>
    </w:rPr>
  </w:style>
  <w:style w:type="paragraph" w:customStyle="1" w:styleId="248">
    <w:name w:val="Coms Alinea"/>
    <w:qFormat/>
    <w:uiPriority w:val="0"/>
    <w:pPr>
      <w:widowControl w:val="0"/>
    </w:pPr>
    <w:rPr>
      <w:rFonts w:ascii="Arial" w:hAnsi="Arial" w:eastAsia="宋体" w:cs="Arial"/>
      <w:lang w:val="en-US" w:eastAsia="zh-CN" w:bidi="ar-SA"/>
    </w:rPr>
  </w:style>
  <w:style w:type="paragraph" w:customStyle="1" w:styleId="249">
    <w:name w:val="正文A"/>
    <w:qFormat/>
    <w:uiPriority w:val="0"/>
    <w:pPr>
      <w:tabs>
        <w:tab w:val="left" w:pos="0"/>
      </w:tabs>
      <w:spacing w:before="120" w:line="360" w:lineRule="auto"/>
      <w:ind w:firstLine="480"/>
      <w:jc w:val="both"/>
    </w:pPr>
    <w:rPr>
      <w:rFonts w:ascii="Calibri" w:hAnsi="Calibri" w:eastAsia="宋体" w:cs="Times New Roman"/>
      <w:sz w:val="24"/>
      <w:lang w:val="en-US" w:eastAsia="zh-CN" w:bidi="ar-SA"/>
    </w:rPr>
  </w:style>
  <w:style w:type="paragraph" w:customStyle="1" w:styleId="250">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Char Char Char Char1 Char Char Char"/>
    <w:basedOn w:val="15"/>
    <w:qFormat/>
    <w:uiPriority w:val="0"/>
    <w:pPr>
      <w:spacing w:line="360" w:lineRule="auto"/>
    </w:pPr>
    <w:rPr>
      <w:rFonts w:ascii="Tahoma" w:hAnsi="Tahoma"/>
      <w:sz w:val="24"/>
    </w:rPr>
  </w:style>
  <w:style w:type="paragraph" w:customStyle="1" w:styleId="253">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254">
    <w:name w:val="Char"/>
    <w:basedOn w:val="1"/>
    <w:qFormat/>
    <w:uiPriority w:val="0"/>
    <w:pPr>
      <w:tabs>
        <w:tab w:val="left" w:pos="360"/>
      </w:tabs>
      <w:ind w:firstLine="561"/>
      <w:jc w:val="center"/>
    </w:pPr>
    <w:rPr>
      <w:rFonts w:ascii="宋体" w:hAnsi="宋体" w:eastAsia="宋体" w:cs="Times New Roman"/>
      <w:b/>
      <w:bCs/>
      <w:sz w:val="28"/>
      <w:szCs w:val="28"/>
    </w:rPr>
  </w:style>
  <w:style w:type="paragraph" w:customStyle="1" w:styleId="25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sz w:val="20"/>
      <w:szCs w:val="20"/>
    </w:rPr>
  </w:style>
  <w:style w:type="paragraph" w:customStyle="1" w:styleId="256">
    <w:name w:val="格式1"/>
    <w:basedOn w:val="1"/>
    <w:qFormat/>
    <w:uiPriority w:val="0"/>
    <w:pPr>
      <w:jc w:val="center"/>
    </w:pPr>
    <w:rPr>
      <w:rFonts w:ascii="黑体" w:hAnsi="宋体" w:eastAsia="黑体" w:cs="Times New Roman"/>
      <w:b/>
      <w:bCs/>
      <w:color w:val="000000"/>
      <w:sz w:val="32"/>
      <w:szCs w:val="20"/>
    </w:rPr>
  </w:style>
  <w:style w:type="paragraph" w:customStyle="1" w:styleId="257">
    <w:name w:val="Char1"/>
    <w:basedOn w:val="1"/>
    <w:qFormat/>
    <w:uiPriority w:val="0"/>
    <w:rPr>
      <w:rFonts w:ascii="Tahoma" w:hAnsi="Tahoma" w:eastAsia="宋体" w:cs="Times New Roman"/>
      <w:sz w:val="24"/>
      <w:szCs w:val="20"/>
    </w:rPr>
  </w:style>
  <w:style w:type="paragraph" w:customStyle="1" w:styleId="258">
    <w:name w:val="条款正文（四级标题）"/>
    <w:basedOn w:val="6"/>
    <w:qFormat/>
    <w:uiPriority w:val="0"/>
    <w:pPr>
      <w:keepNext w:val="0"/>
      <w:keepLines w:val="0"/>
      <w:tabs>
        <w:tab w:val="left" w:pos="540"/>
      </w:tabs>
      <w:spacing w:before="0" w:after="0" w:line="240" w:lineRule="auto"/>
      <w:ind w:left="357"/>
    </w:pPr>
    <w:rPr>
      <w:rFonts w:ascii="Times New Roman" w:hAnsi="Times New Roman" w:eastAsia="宋体"/>
      <w:b w:val="0"/>
      <w:bCs w:val="0"/>
      <w:sz w:val="21"/>
      <w:szCs w:val="21"/>
    </w:rPr>
  </w:style>
  <w:style w:type="paragraph" w:customStyle="1" w:styleId="259">
    <w:name w:val="正文空2格  1."/>
    <w:basedOn w:val="1"/>
    <w:qFormat/>
    <w:uiPriority w:val="0"/>
    <w:pPr>
      <w:spacing w:line="360" w:lineRule="auto"/>
      <w:ind w:firstLine="480"/>
    </w:pPr>
    <w:rPr>
      <w:rFonts w:ascii="宋体" w:hAnsi="Calibri" w:eastAsia="仿宋" w:cs="宋体"/>
      <w:sz w:val="28"/>
      <w:szCs w:val="20"/>
    </w:rPr>
  </w:style>
  <w:style w:type="paragraph" w:customStyle="1" w:styleId="260">
    <w:name w:val="一级目录"/>
    <w:next w:val="1"/>
    <w:qFormat/>
    <w:uiPriority w:val="99"/>
    <w:pPr>
      <w:jc w:val="center"/>
      <w:outlineLvl w:val="0"/>
    </w:pPr>
    <w:rPr>
      <w:rFonts w:ascii="黑体" w:hAnsi="Calibri" w:eastAsia="黑体" w:cs="Times New Roman"/>
      <w:b/>
      <w:sz w:val="44"/>
      <w:szCs w:val="44"/>
      <w:lang w:val="en-US" w:eastAsia="zh-CN" w:bidi="ar-SA"/>
    </w:rPr>
  </w:style>
  <w:style w:type="paragraph" w:customStyle="1" w:styleId="261">
    <w:name w:val="标题2"/>
    <w:basedOn w:val="1"/>
    <w:next w:val="1"/>
    <w:qFormat/>
    <w:uiPriority w:val="0"/>
    <w:pPr>
      <w:jc w:val="center"/>
    </w:pPr>
    <w:rPr>
      <w:rFonts w:ascii="Calibri" w:hAnsi="Calibri" w:eastAsia="方正楷体_GBK" w:cs="Times New Roman"/>
      <w:szCs w:val="24"/>
    </w:rPr>
  </w:style>
  <w:style w:type="paragraph" w:customStyle="1" w:styleId="262">
    <w:name w:val="默认段落字体 Para Char Char Char Char Char Char Char Char Char1 Char Char Char Char Char Char Char"/>
    <w:basedOn w:val="15"/>
    <w:qFormat/>
    <w:uiPriority w:val="0"/>
    <w:rPr>
      <w:rFonts w:ascii="Tahoma" w:hAnsi="Tahoma"/>
      <w:sz w:val="24"/>
    </w:rPr>
  </w:style>
  <w:style w:type="paragraph" w:customStyle="1" w:styleId="263">
    <w:name w:val="标题3"/>
    <w:basedOn w:val="1"/>
    <w:next w:val="1"/>
    <w:qFormat/>
    <w:uiPriority w:val="0"/>
    <w:rPr>
      <w:rFonts w:ascii="Calibri" w:hAnsi="Calibri" w:eastAsia="方正黑体_GBK" w:cs="Times New Roman"/>
      <w:szCs w:val="24"/>
    </w:rPr>
  </w:style>
  <w:style w:type="paragraph" w:styleId="264">
    <w:name w:val="List Paragraph"/>
    <w:basedOn w:val="1"/>
    <w:qFormat/>
    <w:uiPriority w:val="0"/>
    <w:pPr>
      <w:ind w:firstLine="420"/>
    </w:pPr>
    <w:rPr>
      <w:rFonts w:ascii="Calibri" w:hAnsi="Calibri" w:eastAsia="宋体" w:cs="Times New Roman"/>
    </w:rPr>
  </w:style>
  <w:style w:type="paragraph" w:customStyle="1" w:styleId="265">
    <w:name w:val="正文 第一章"/>
    <w:basedOn w:val="1"/>
    <w:next w:val="245"/>
    <w:qFormat/>
    <w:uiPriority w:val="0"/>
    <w:pPr>
      <w:pageBreakBefore/>
      <w:numPr>
        <w:ilvl w:val="0"/>
        <w:numId w:val="2"/>
      </w:numPr>
      <w:spacing w:before="240" w:after="240" w:line="480" w:lineRule="auto"/>
      <w:jc w:val="center"/>
      <w:outlineLvl w:val="0"/>
    </w:pPr>
    <w:rPr>
      <w:rFonts w:ascii="黑体" w:hAnsi="宋体" w:eastAsia="黑体" w:cs="Times New Roman"/>
      <w:sz w:val="36"/>
      <w:szCs w:val="21"/>
    </w:rPr>
  </w:style>
  <w:style w:type="paragraph" w:customStyle="1" w:styleId="266">
    <w:name w:val="Char Char Char Char"/>
    <w:basedOn w:val="15"/>
    <w:qFormat/>
    <w:uiPriority w:val="0"/>
    <w:pPr>
      <w:spacing w:line="360" w:lineRule="auto"/>
    </w:pPr>
    <w:rPr>
      <w:rFonts w:ascii="Tahoma" w:hAnsi="Tahoma"/>
      <w:sz w:val="24"/>
    </w:rPr>
  </w:style>
  <w:style w:type="paragraph" w:customStyle="1" w:styleId="267">
    <w:name w:val="BioQuote Tekst"/>
    <w:basedOn w:val="1"/>
    <w:qFormat/>
    <w:uiPriority w:val="0"/>
    <w:pPr>
      <w:ind w:right="-1"/>
    </w:pPr>
    <w:rPr>
      <w:rFonts w:ascii="Arial" w:hAnsi="Arial" w:eastAsia="宋体" w:cs="Times New Roman"/>
      <w:sz w:val="22"/>
      <w:szCs w:val="20"/>
      <w:lang w:eastAsia="en-US"/>
    </w:rPr>
  </w:style>
  <w:style w:type="paragraph" w:customStyle="1" w:styleId="268">
    <w:name w:val="tytytyty"/>
    <w:basedOn w:val="1"/>
    <w:qFormat/>
    <w:uiPriority w:val="0"/>
    <w:pPr>
      <w:widowControl/>
      <w:spacing w:line="360" w:lineRule="auto"/>
      <w:ind w:left="359" w:firstLine="480"/>
      <w:jc w:val="left"/>
    </w:pPr>
    <w:rPr>
      <w:rFonts w:ascii="Calibri" w:hAnsi="Calibri" w:eastAsia="宋体" w:cs="Times New Roman"/>
      <w:sz w:val="24"/>
      <w:szCs w:val="24"/>
    </w:rPr>
  </w:style>
  <w:style w:type="paragraph" w:customStyle="1" w:styleId="269">
    <w:name w:val="表格文字"/>
    <w:basedOn w:val="1"/>
    <w:qFormat/>
    <w:uiPriority w:val="0"/>
    <w:pPr>
      <w:spacing w:line="360" w:lineRule="exact"/>
      <w:jc w:val="left"/>
    </w:pPr>
    <w:rPr>
      <w:rFonts w:ascii="Calibri" w:hAnsi="Calibri" w:eastAsia="宋体" w:cs="Times New Roman"/>
      <w:sz w:val="24"/>
      <w:szCs w:val="24"/>
    </w:rPr>
  </w:style>
  <w:style w:type="paragraph" w:customStyle="1" w:styleId="270">
    <w:name w:val="标题 2 + Times New Roman 居中 段前: 0 磅 段后: 0 磅 行距: 单倍行距 + 段前..."/>
    <w:basedOn w:val="1"/>
    <w:qFormat/>
    <w:uiPriority w:val="0"/>
    <w:pPr>
      <w:keepNext/>
      <w:keepLines/>
      <w:jc w:val="center"/>
      <w:outlineLvl w:val="1"/>
    </w:pPr>
    <w:rPr>
      <w:rFonts w:ascii="Calibri" w:hAnsi="Calibri" w:eastAsia="黑体" w:cs="Times New Roman"/>
      <w:b/>
      <w:bCs/>
      <w:sz w:val="32"/>
      <w:szCs w:val="20"/>
    </w:rPr>
  </w:style>
  <w:style w:type="paragraph" w:customStyle="1" w:styleId="271">
    <w:name w:val="样式 标题 2 + Times New Roman 四号 非加粗 段前: 5 磅 段后: 0 磅 行距: 固定值 20..."/>
    <w:basedOn w:val="3"/>
    <w:qFormat/>
    <w:uiPriority w:val="0"/>
    <w:pPr>
      <w:spacing w:line="400" w:lineRule="exact"/>
    </w:pPr>
    <w:rPr>
      <w:rFonts w:ascii="Times New Roman" w:hAnsi="Times New Roman" w:cs="宋体"/>
      <w:b w:val="0"/>
      <w:sz w:val="28"/>
    </w:rPr>
  </w:style>
  <w:style w:type="character" w:customStyle="1" w:styleId="272">
    <w:name w:val="fontstyle31"/>
    <w:qFormat/>
    <w:uiPriority w:val="0"/>
    <w:rPr>
      <w:rFonts w:hint="default" w:ascii="Times New Roman" w:hAnsi="Times New Roman" w:cs="Times New Roman"/>
      <w:color w:val="000000"/>
      <w:sz w:val="22"/>
      <w:szCs w:val="22"/>
    </w:rPr>
  </w:style>
  <w:style w:type="character" w:customStyle="1" w:styleId="273">
    <w:name w:val="fontstyle01"/>
    <w:qFormat/>
    <w:uiPriority w:val="0"/>
    <w:rPr>
      <w:rFonts w:hint="eastAsia" w:ascii="宋体" w:hAnsi="宋体" w:eastAsia="宋体" w:cs="宋体"/>
      <w:color w:val="000000"/>
      <w:sz w:val="24"/>
      <w:szCs w:val="24"/>
    </w:rPr>
  </w:style>
  <w:style w:type="paragraph" w:customStyle="1" w:styleId="274">
    <w:name w:val="正文1"/>
    <w:qFormat/>
    <w:uiPriority w:val="0"/>
    <w:pPr>
      <w:spacing w:before="120" w:after="120" w:line="180" w:lineRule="auto"/>
      <w:ind w:firstLine="200"/>
    </w:pPr>
    <w:rPr>
      <w:rFonts w:ascii="Calibri" w:hAnsi="Calibri" w:eastAsia="Adobe 仿宋 Std R" w:cs="Calibri"/>
      <w:sz w:val="21"/>
      <w:szCs w:val="21"/>
      <w:lang w:val="en-US" w:eastAsia="zh-CN" w:bidi="ar-SA"/>
    </w:rPr>
  </w:style>
  <w:style w:type="character" w:customStyle="1" w:styleId="275">
    <w:name w:val="Body Text Indent Char"/>
    <w:qFormat/>
    <w:uiPriority w:val="0"/>
    <w:rPr>
      <w:rFonts w:ascii="宋体" w:hAnsi="宋体" w:eastAsia="宋体"/>
      <w:sz w:val="21"/>
      <w:lang w:val="en-US" w:eastAsia="zh-CN" w:bidi="ar-SA"/>
    </w:rPr>
  </w:style>
  <w:style w:type="character" w:customStyle="1" w:styleId="276">
    <w:name w:val="尾注文本 Char"/>
    <w:basedOn w:val="53"/>
    <w:link w:val="28"/>
    <w:qFormat/>
    <w:uiPriority w:val="0"/>
    <w:rPr>
      <w:rFonts w:ascii="Times New Roman" w:hAnsi="Times New Roman" w:eastAsia="宋体" w:cs="Times New Roman"/>
      <w:b/>
      <w:szCs w:val="24"/>
    </w:rPr>
  </w:style>
  <w:style w:type="character" w:customStyle="1" w:styleId="277">
    <w:name w:val="脚注文本 Char"/>
    <w:basedOn w:val="53"/>
    <w:qFormat/>
    <w:uiPriority w:val="0"/>
    <w:rPr>
      <w:sz w:val="18"/>
      <w:szCs w:val="18"/>
    </w:rPr>
  </w:style>
  <w:style w:type="character" w:customStyle="1" w:styleId="278">
    <w:name w:val="标题 Char"/>
    <w:basedOn w:val="53"/>
    <w:qFormat/>
    <w:uiPriority w:val="0"/>
    <w:rPr>
      <w:rFonts w:eastAsia="宋体" w:asciiTheme="majorHAnsi" w:hAnsiTheme="majorHAnsi" w:cstheme="majorBidi"/>
      <w:b/>
      <w:bCs/>
      <w:sz w:val="32"/>
      <w:szCs w:val="32"/>
    </w:rPr>
  </w:style>
  <w:style w:type="character" w:customStyle="1" w:styleId="279">
    <w:name w:val="正文首行缩进 Char"/>
    <w:basedOn w:val="215"/>
    <w:qFormat/>
    <w:uiPriority w:val="0"/>
    <w:rPr>
      <w:rFonts w:ascii="楷体_GB2312" w:hAnsi="Arial" w:eastAsia="楷体_GB2312" w:cs="Times New Roman"/>
      <w:sz w:val="28"/>
      <w:szCs w:val="20"/>
    </w:rPr>
  </w:style>
  <w:style w:type="character" w:customStyle="1" w:styleId="280">
    <w:name w:val="正文首行缩进 2 Char"/>
    <w:basedOn w:val="216"/>
    <w:qFormat/>
    <w:uiPriority w:val="0"/>
    <w:rPr>
      <w:rFonts w:ascii="楷体_GB2312" w:hAnsi="Calibri" w:eastAsia="楷体_GB2312" w:cs="Times New Roman"/>
      <w:sz w:val="32"/>
      <w:szCs w:val="20"/>
    </w:rPr>
  </w:style>
  <w:style w:type="character" w:customStyle="1" w:styleId="281">
    <w:name w:val="标题 2 Char2"/>
    <w:link w:val="3"/>
    <w:qFormat/>
    <w:uiPriority w:val="0"/>
    <w:rPr>
      <w:rFonts w:ascii="Arial" w:hAnsi="Arial" w:eastAsia="幼圆" w:cs="Times New Roman"/>
      <w:b/>
      <w:sz w:val="44"/>
      <w:szCs w:val="20"/>
    </w:rPr>
  </w:style>
  <w:style w:type="character" w:customStyle="1" w:styleId="282">
    <w:name w:val="Default Char"/>
    <w:link w:val="283"/>
    <w:qFormat/>
    <w:uiPriority w:val="99"/>
    <w:rPr>
      <w:rFonts w:ascii="MS Mincho" w:hAnsi="Calibri" w:eastAsia="MS Mincho"/>
      <w:color w:val="000000"/>
      <w:sz w:val="24"/>
      <w:szCs w:val="24"/>
    </w:rPr>
  </w:style>
  <w:style w:type="paragraph" w:customStyle="1" w:styleId="283">
    <w:name w:val="Default"/>
    <w:link w:val="282"/>
    <w:qFormat/>
    <w:uiPriority w:val="0"/>
    <w:pPr>
      <w:widowControl w:val="0"/>
    </w:pPr>
    <w:rPr>
      <w:rFonts w:ascii="MS Mincho" w:hAnsi="Calibri" w:eastAsia="MS Mincho" w:cstheme="minorBidi"/>
      <w:color w:val="000000"/>
      <w:sz w:val="24"/>
      <w:szCs w:val="24"/>
      <w:lang w:val="en-US" w:eastAsia="zh-CN" w:bidi="ar-SA"/>
    </w:rPr>
  </w:style>
  <w:style w:type="character" w:customStyle="1" w:styleId="284">
    <w:name w:val="正文文本 3 Char1"/>
    <w:link w:val="17"/>
    <w:qFormat/>
    <w:uiPriority w:val="0"/>
    <w:rPr>
      <w:rFonts w:ascii="仿宋_GB2312" w:hAnsi="Arial" w:eastAsia="仿宋_GB2312" w:cs="Times New Roman"/>
      <w:sz w:val="32"/>
      <w:szCs w:val="20"/>
    </w:rPr>
  </w:style>
  <w:style w:type="paragraph" w:customStyle="1" w:styleId="285">
    <w:name w:val="正文_13"/>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86">
    <w:name w:val="正文文本缩进 2 Char2"/>
    <w:link w:val="27"/>
    <w:qFormat/>
    <w:uiPriority w:val="0"/>
    <w:rPr>
      <w:rFonts w:ascii="宋体" w:hAnsi="宋体" w:eastAsia="宋体" w:cs="Times New Roman"/>
      <w:sz w:val="28"/>
      <w:szCs w:val="24"/>
    </w:rPr>
  </w:style>
  <w:style w:type="character" w:customStyle="1" w:styleId="287">
    <w:name w:val="正文文本缩进 Char1"/>
    <w:basedOn w:val="53"/>
    <w:qFormat/>
    <w:uiPriority w:val="0"/>
    <w:rPr>
      <w:rFonts w:ascii="楷体_GB2312" w:eastAsia="楷体_GB2312"/>
      <w:sz w:val="32"/>
    </w:rPr>
  </w:style>
  <w:style w:type="character" w:customStyle="1" w:styleId="288">
    <w:name w:val="页眉 Char1"/>
    <w:link w:val="31"/>
    <w:qFormat/>
    <w:uiPriority w:val="0"/>
    <w:rPr>
      <w:rFonts w:ascii="Calibri" w:hAnsi="Calibri" w:eastAsia="宋体" w:cs="Times New Roman"/>
      <w:sz w:val="18"/>
      <w:szCs w:val="18"/>
    </w:rPr>
  </w:style>
  <w:style w:type="character" w:customStyle="1" w:styleId="289">
    <w:name w:val="日期 Char2"/>
    <w:link w:val="26"/>
    <w:qFormat/>
    <w:uiPriority w:val="0"/>
    <w:rPr>
      <w:rFonts w:ascii="Calibri" w:hAnsi="Calibri" w:eastAsia="宋体" w:cs="Times New Roman"/>
      <w:sz w:val="24"/>
      <w:szCs w:val="20"/>
    </w:rPr>
  </w:style>
  <w:style w:type="character" w:customStyle="1" w:styleId="290">
    <w:name w:val="批注框文本 Char2"/>
    <w:link w:val="29"/>
    <w:qFormat/>
    <w:uiPriority w:val="0"/>
    <w:rPr>
      <w:rFonts w:ascii="Calibri" w:hAnsi="Calibri" w:eastAsia="宋体" w:cs="Times New Roman"/>
      <w:sz w:val="18"/>
      <w:szCs w:val="18"/>
    </w:rPr>
  </w:style>
  <w:style w:type="character" w:customStyle="1" w:styleId="291">
    <w:name w:val="页脚 Char1"/>
    <w:link w:val="30"/>
    <w:qFormat/>
    <w:uiPriority w:val="99"/>
    <w:rPr>
      <w:rFonts w:ascii="Calibri" w:hAnsi="Calibri" w:eastAsia="宋体" w:cs="Times New Roman"/>
      <w:sz w:val="18"/>
      <w:szCs w:val="20"/>
    </w:rPr>
  </w:style>
  <w:style w:type="paragraph" w:customStyle="1" w:styleId="292">
    <w:name w:val="Char5"/>
    <w:basedOn w:val="1"/>
    <w:qFormat/>
    <w:uiPriority w:val="0"/>
    <w:pPr>
      <w:tabs>
        <w:tab w:val="left" w:pos="360"/>
      </w:tabs>
      <w:ind w:firstLine="480"/>
      <w:jc w:val="left"/>
    </w:pPr>
    <w:rPr>
      <w:rFonts w:ascii="宋体" w:hAnsi="宋体" w:eastAsia="宋体" w:cs="Times New Roman"/>
      <w:b/>
      <w:bCs/>
      <w:sz w:val="24"/>
      <w:szCs w:val="21"/>
    </w:rPr>
  </w:style>
  <w:style w:type="character" w:customStyle="1" w:styleId="293">
    <w:name w:val="Heading 3 Char"/>
    <w:qFormat/>
    <w:uiPriority w:val="0"/>
    <w:rPr>
      <w:rFonts w:cs="Times New Roman"/>
      <w:b/>
      <w:bCs/>
      <w:sz w:val="32"/>
      <w:szCs w:val="32"/>
    </w:rPr>
  </w:style>
  <w:style w:type="character" w:customStyle="1" w:styleId="294">
    <w:name w:val="question-title2"/>
    <w:basedOn w:val="53"/>
    <w:qFormat/>
    <w:uiPriority w:val="0"/>
  </w:style>
  <w:style w:type="character" w:customStyle="1" w:styleId="295">
    <w:name w:val="正文文本缩进 2 Char Char"/>
    <w:qFormat/>
    <w:uiPriority w:val="0"/>
    <w:rPr>
      <w:rFonts w:hint="eastAsia" w:ascii="宋体" w:hAnsi="宋体" w:eastAsia="宋体" w:cs="宋体"/>
      <w:sz w:val="28"/>
      <w:lang w:val="en-US" w:eastAsia="zh-CN"/>
    </w:rPr>
  </w:style>
  <w:style w:type="character" w:customStyle="1" w:styleId="296">
    <w:name w:val="Char Char22"/>
    <w:qFormat/>
    <w:uiPriority w:val="0"/>
    <w:rPr>
      <w:rFonts w:ascii="Times New Roman" w:hAnsi="Times New Roman" w:eastAsia="宋体" w:cs="Times New Roman"/>
      <w:b/>
      <w:bCs/>
      <w:sz w:val="32"/>
      <w:szCs w:val="44"/>
    </w:rPr>
  </w:style>
  <w:style w:type="character" w:customStyle="1" w:styleId="297">
    <w:name w:val="Header Char"/>
    <w:qFormat/>
    <w:uiPriority w:val="0"/>
    <w:rPr>
      <w:rFonts w:eastAsia="宋体"/>
      <w:sz w:val="18"/>
      <w:szCs w:val="18"/>
      <w:lang w:val="en-US" w:eastAsia="zh-CN" w:bidi="ar-SA"/>
    </w:rPr>
  </w:style>
  <w:style w:type="character" w:customStyle="1" w:styleId="298">
    <w:name w:val="普通文字 Char Char"/>
    <w:qFormat/>
    <w:uiPriority w:val="0"/>
    <w:rPr>
      <w:rFonts w:hint="eastAsia" w:ascii="宋体" w:hAnsi="Courier New" w:eastAsia="宋体" w:cs="宋体"/>
      <w:sz w:val="21"/>
      <w:lang w:val="en-US" w:eastAsia="zh-CN"/>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无间隔 Char Char"/>
    <w:qFormat/>
    <w:uiPriority w:val="0"/>
    <w:rPr>
      <w:rFonts w:hint="eastAsia" w:ascii="宋体" w:hAnsi="宋体" w:eastAsia="宋体" w:cs="宋体"/>
      <w:sz w:val="21"/>
      <w:szCs w:val="24"/>
      <w:lang w:val="en-US" w:eastAsia="zh-CN"/>
    </w:rPr>
  </w:style>
  <w:style w:type="character" w:customStyle="1" w:styleId="301">
    <w:name w:val="Char Char181"/>
    <w:qFormat/>
    <w:uiPriority w:val="0"/>
    <w:rPr>
      <w:b/>
      <w:bCs/>
      <w:sz w:val="44"/>
      <w:szCs w:val="44"/>
    </w:rPr>
  </w:style>
  <w:style w:type="character" w:customStyle="1" w:styleId="302">
    <w:name w:val="Char Char25"/>
    <w:qFormat/>
    <w:uiPriority w:val="0"/>
    <w:rPr>
      <w:rFonts w:hint="eastAsia" w:ascii="宋体" w:hAnsi="宋体" w:eastAsia="宋体" w:cs="宋体"/>
      <w:b/>
      <w:sz w:val="32"/>
    </w:rPr>
  </w:style>
  <w:style w:type="character" w:customStyle="1" w:styleId="303">
    <w:name w:val="Char Char11"/>
    <w:qFormat/>
    <w:uiPriority w:val="0"/>
    <w:rPr>
      <w:szCs w:val="24"/>
    </w:rPr>
  </w:style>
  <w:style w:type="character" w:customStyle="1" w:styleId="304">
    <w:name w:val="Heading 1 Char"/>
    <w:qFormat/>
    <w:uiPriority w:val="0"/>
    <w:rPr>
      <w:rFonts w:eastAsia="宋体"/>
      <w:b/>
      <w:bCs/>
      <w:sz w:val="32"/>
      <w:szCs w:val="44"/>
      <w:lang w:val="en-US" w:eastAsia="zh-CN" w:bidi="ar-SA"/>
    </w:rPr>
  </w:style>
  <w:style w:type="character" w:customStyle="1" w:styleId="305">
    <w:name w:val="批注文字 Char1"/>
    <w:qFormat/>
    <w:uiPriority w:val="0"/>
    <w:rPr>
      <w:rFonts w:ascii="Times New Roman" w:hAnsi="Times New Roman" w:eastAsia="宋体" w:cs="Times New Roman"/>
      <w:szCs w:val="24"/>
    </w:rPr>
  </w:style>
  <w:style w:type="character" w:customStyle="1" w:styleId="306">
    <w:name w:val="表正文 Char1"/>
    <w:qFormat/>
    <w:uiPriority w:val="0"/>
    <w:rPr>
      <w:sz w:val="21"/>
    </w:rPr>
  </w:style>
  <w:style w:type="character" w:customStyle="1" w:styleId="307">
    <w:name w:val="IRMS (F) Char3"/>
    <w:qFormat/>
    <w:uiPriority w:val="0"/>
    <w:rPr>
      <w:rFonts w:hint="eastAsia" w:ascii="宋体" w:hAnsi="宋体" w:eastAsia="宋体" w:cs="宋体"/>
      <w:szCs w:val="22"/>
      <w:lang w:val="en-US" w:eastAsia="zh-TW"/>
    </w:rPr>
  </w:style>
  <w:style w:type="character" w:customStyle="1" w:styleId="308">
    <w:name w:val="IRMS (F) Char"/>
    <w:qFormat/>
    <w:uiPriority w:val="0"/>
    <w:rPr>
      <w:rFonts w:hint="eastAsia" w:ascii="宋体" w:hAnsi="宋体" w:eastAsia="宋体" w:cs="宋体"/>
      <w:szCs w:val="22"/>
      <w:lang w:val="en-US" w:eastAsia="zh-TW"/>
    </w:rPr>
  </w:style>
  <w:style w:type="character" w:customStyle="1" w:styleId="309">
    <w:name w:val="Footnote Text Char"/>
    <w:qFormat/>
    <w:uiPriority w:val="0"/>
    <w:rPr>
      <w:rFonts w:eastAsia="宋体"/>
      <w:sz w:val="18"/>
      <w:lang w:val="en-US" w:eastAsia="zh-CN" w:bidi="ar-SA"/>
    </w:rPr>
  </w:style>
  <w:style w:type="character" w:customStyle="1" w:styleId="310">
    <w:name w:val="Char Char161"/>
    <w:qFormat/>
    <w:uiPriority w:val="0"/>
    <w:rPr>
      <w:sz w:val="21"/>
      <w:szCs w:val="24"/>
    </w:rPr>
  </w:style>
  <w:style w:type="character" w:customStyle="1" w:styleId="311">
    <w:name w:val="apple-converted-space"/>
    <w:basedOn w:val="53"/>
    <w:qFormat/>
    <w:uiPriority w:val="0"/>
  </w:style>
  <w:style w:type="character" w:customStyle="1" w:styleId="312">
    <w:name w:val="标题 Char1"/>
    <w:qFormat/>
    <w:uiPriority w:val="10"/>
    <w:rPr>
      <w:rFonts w:ascii="Cambria" w:hAnsi="Cambria" w:eastAsia="宋体" w:cs="Times New Roman"/>
      <w:b/>
      <w:bCs/>
      <w:sz w:val="32"/>
      <w:szCs w:val="32"/>
    </w:rPr>
  </w:style>
  <w:style w:type="character" w:customStyle="1" w:styleId="313">
    <w:name w:val="msointensereference"/>
    <w:qFormat/>
    <w:uiPriority w:val="0"/>
    <w:rPr>
      <w:b/>
      <w:smallCaps/>
      <w:color w:val="C0504D"/>
      <w:spacing w:val="5"/>
      <w:u w:val="single"/>
    </w:rPr>
  </w:style>
  <w:style w:type="character" w:customStyle="1" w:styleId="314">
    <w:name w:val="页眉 Char Char"/>
    <w:qFormat/>
    <w:uiPriority w:val="0"/>
    <w:rPr>
      <w:rFonts w:hint="eastAsia" w:ascii="宋体" w:hAnsi="宋体" w:eastAsia="宋体" w:cs="宋体"/>
      <w:sz w:val="18"/>
      <w:szCs w:val="18"/>
      <w:lang w:val="en-US" w:eastAsia="zh-CN"/>
    </w:rPr>
  </w:style>
  <w:style w:type="character" w:customStyle="1" w:styleId="315">
    <w:name w:val="正文文本缩进 2 Char1"/>
    <w:qFormat/>
    <w:uiPriority w:val="0"/>
    <w:rPr>
      <w:sz w:val="21"/>
    </w:rPr>
  </w:style>
  <w:style w:type="character" w:customStyle="1" w:styleId="316">
    <w:name w:val="标题 2 Char1"/>
    <w:qFormat/>
    <w:uiPriority w:val="9"/>
    <w:rPr>
      <w:rFonts w:ascii="Arial" w:hAnsi="Arial" w:eastAsia="黑体" w:cs="Calibri"/>
      <w:b/>
      <w:sz w:val="32"/>
      <w:szCs w:val="20"/>
    </w:rPr>
  </w:style>
  <w:style w:type="character" w:customStyle="1" w:styleId="317">
    <w:name w:val="Char Char23"/>
    <w:qFormat/>
    <w:uiPriority w:val="0"/>
    <w:rPr>
      <w:rFonts w:eastAsia="宋体"/>
      <w:b/>
      <w:bCs/>
      <w:sz w:val="32"/>
      <w:szCs w:val="44"/>
      <w:lang w:val="en-US" w:eastAsia="zh-CN" w:bidi="ar-SA"/>
    </w:rPr>
  </w:style>
  <w:style w:type="character" w:customStyle="1" w:styleId="318">
    <w:name w:val="明显参考1"/>
    <w:qFormat/>
    <w:uiPriority w:val="0"/>
    <w:rPr>
      <w:b/>
      <w:smallCaps/>
      <w:color w:val="C0504D"/>
      <w:spacing w:val="5"/>
      <w:u w:val="single"/>
    </w:rPr>
  </w:style>
  <w:style w:type="character" w:customStyle="1" w:styleId="319">
    <w:name w:val="正文首缩两字 Char Char"/>
    <w:link w:val="320"/>
    <w:qFormat/>
    <w:uiPriority w:val="0"/>
    <w:rPr>
      <w:rFonts w:ascii="Verdana" w:hAnsi="Verdana" w:cs="Verdana"/>
      <w:sz w:val="24"/>
      <w:szCs w:val="24"/>
    </w:rPr>
  </w:style>
  <w:style w:type="paragraph" w:customStyle="1" w:styleId="320">
    <w:name w:val="正文首缩两字"/>
    <w:basedOn w:val="1"/>
    <w:link w:val="319"/>
    <w:qFormat/>
    <w:uiPriority w:val="0"/>
    <w:pPr>
      <w:spacing w:line="360" w:lineRule="auto"/>
      <w:ind w:firstLine="200"/>
    </w:pPr>
    <w:rPr>
      <w:rFonts w:ascii="Verdana" w:hAnsi="Verdana" w:cs="Verdana"/>
      <w:sz w:val="24"/>
      <w:szCs w:val="24"/>
    </w:rPr>
  </w:style>
  <w:style w:type="character" w:customStyle="1" w:styleId="321">
    <w:name w:val="正文文本 Char2"/>
    <w:qFormat/>
    <w:uiPriority w:val="0"/>
    <w:rPr>
      <w:sz w:val="21"/>
      <w:szCs w:val="24"/>
    </w:rPr>
  </w:style>
  <w:style w:type="character" w:customStyle="1" w:styleId="322">
    <w:name w:val="Document Map Char"/>
    <w:qFormat/>
    <w:uiPriority w:val="0"/>
    <w:rPr>
      <w:rFonts w:eastAsia="宋体"/>
      <w:sz w:val="21"/>
      <w:szCs w:val="24"/>
      <w:lang w:val="en-US" w:eastAsia="zh-CN" w:bidi="ar-SA"/>
    </w:rPr>
  </w:style>
  <w:style w:type="character" w:customStyle="1" w:styleId="323">
    <w:name w:val="Char Char21"/>
    <w:qFormat/>
    <w:uiPriority w:val="0"/>
    <w:rPr>
      <w:rFonts w:ascii="Arial" w:hAnsi="Arial" w:eastAsia="黑体" w:cs="Times New Roman"/>
      <w:b/>
      <w:bCs/>
      <w:sz w:val="32"/>
      <w:szCs w:val="32"/>
    </w:rPr>
  </w:style>
  <w:style w:type="character" w:customStyle="1" w:styleId="324">
    <w:name w:val="无间隔 Char"/>
    <w:link w:val="325"/>
    <w:qFormat/>
    <w:uiPriority w:val="0"/>
    <w:rPr>
      <w:szCs w:val="24"/>
    </w:rPr>
  </w:style>
  <w:style w:type="paragraph" w:styleId="325">
    <w:name w:val="No Spacing"/>
    <w:link w:val="324"/>
    <w:qFormat/>
    <w:uiPriority w:val="0"/>
    <w:pPr>
      <w:widowControl w:val="0"/>
      <w:jc w:val="both"/>
    </w:pPr>
    <w:rPr>
      <w:rFonts w:asciiTheme="minorHAnsi" w:hAnsiTheme="minorHAnsi" w:eastAsiaTheme="minorEastAsia" w:cstheme="minorBidi"/>
      <w:sz w:val="21"/>
      <w:szCs w:val="24"/>
      <w:lang w:val="en-US" w:eastAsia="zh-CN" w:bidi="ar-SA"/>
    </w:rPr>
  </w:style>
  <w:style w:type="character" w:customStyle="1" w:styleId="326">
    <w:name w:val="Char Char2"/>
    <w:link w:val="327"/>
    <w:qFormat/>
    <w:uiPriority w:val="0"/>
    <w:rPr>
      <w:rFonts w:ascii="宋体" w:hAnsi="宋体"/>
      <w:b/>
      <w:szCs w:val="24"/>
    </w:rPr>
  </w:style>
  <w:style w:type="paragraph" w:customStyle="1" w:styleId="327">
    <w:name w:val="Char3"/>
    <w:basedOn w:val="1"/>
    <w:link w:val="326"/>
    <w:qFormat/>
    <w:uiPriority w:val="0"/>
    <w:rPr>
      <w:rFonts w:ascii="宋体" w:hAnsi="宋体"/>
      <w:b/>
      <w:szCs w:val="24"/>
    </w:rPr>
  </w:style>
  <w:style w:type="character" w:customStyle="1" w:styleId="328">
    <w:name w:val="Balloon Text Char"/>
    <w:qFormat/>
    <w:uiPriority w:val="0"/>
    <w:rPr>
      <w:sz w:val="18"/>
      <w:lang w:bidi="ar-SA"/>
    </w:rPr>
  </w:style>
  <w:style w:type="character" w:customStyle="1" w:styleId="329">
    <w:name w:val="bookmark"/>
    <w:basedOn w:val="53"/>
    <w:qFormat/>
    <w:uiPriority w:val="0"/>
  </w:style>
  <w:style w:type="character" w:customStyle="1" w:styleId="330">
    <w:name w:val="Char Char91"/>
    <w:qFormat/>
    <w:uiPriority w:val="0"/>
    <w:rPr>
      <w:rFonts w:eastAsia="宋体"/>
      <w:b/>
      <w:bCs/>
      <w:sz w:val="32"/>
      <w:szCs w:val="44"/>
      <w:lang w:val="en-US" w:eastAsia="zh-CN" w:bidi="ar-SA"/>
    </w:rPr>
  </w:style>
  <w:style w:type="character" w:customStyle="1" w:styleId="331">
    <w:name w:val="标题 1 Char1"/>
    <w:qFormat/>
    <w:uiPriority w:val="0"/>
    <w:rPr>
      <w:rFonts w:ascii="Calibri" w:hAnsi="Calibri" w:eastAsia="宋体" w:cs="Arial"/>
      <w:b/>
      <w:sz w:val="44"/>
      <w:szCs w:val="20"/>
    </w:rPr>
  </w:style>
  <w:style w:type="character" w:customStyle="1" w:styleId="332">
    <w:name w:val="明显强调1"/>
    <w:qFormat/>
    <w:uiPriority w:val="0"/>
    <w:rPr>
      <w:b/>
      <w:i/>
      <w:color w:val="4F81BD"/>
    </w:rPr>
  </w:style>
  <w:style w:type="character" w:customStyle="1" w:styleId="333">
    <w:name w:val="Quote Char Char"/>
    <w:qFormat/>
    <w:uiPriority w:val="0"/>
    <w:rPr>
      <w:rFonts w:hint="eastAsia" w:ascii="宋体" w:hAnsi="宋体" w:eastAsia="宋体" w:cs="宋体"/>
      <w:i/>
      <w:color w:val="000000"/>
      <w:sz w:val="21"/>
      <w:szCs w:val="24"/>
      <w:lang w:val="en-US" w:eastAsia="zh-CN"/>
    </w:rPr>
  </w:style>
  <w:style w:type="character" w:customStyle="1" w:styleId="334">
    <w:name w:val="Char Char12"/>
    <w:qFormat/>
    <w:uiPriority w:val="0"/>
    <w:rPr>
      <w:rFonts w:hint="eastAsia" w:ascii="宋体" w:hAnsi="宋体" w:eastAsia="宋体" w:cs="宋体"/>
      <w:sz w:val="24"/>
      <w:szCs w:val="24"/>
      <w:lang w:val="en-US" w:eastAsia="zh-CN"/>
    </w:rPr>
  </w:style>
  <w:style w:type="character" w:customStyle="1" w:styleId="335">
    <w:name w:val="Plain Text Char1"/>
    <w:qFormat/>
    <w:uiPriority w:val="0"/>
    <w:rPr>
      <w:rFonts w:hint="eastAsia" w:ascii="宋体" w:hAnsi="Courier New" w:eastAsia="宋体" w:cs="Courier New"/>
      <w:szCs w:val="21"/>
    </w:rPr>
  </w:style>
  <w:style w:type="character" w:customStyle="1" w:styleId="336">
    <w:name w:val="Char Char24"/>
    <w:qFormat/>
    <w:uiPriority w:val="0"/>
    <w:rPr>
      <w:rFonts w:eastAsia="宋体"/>
      <w:b/>
      <w:bCs/>
      <w:sz w:val="32"/>
      <w:szCs w:val="44"/>
      <w:lang w:val="en-US" w:eastAsia="zh-CN" w:bidi="ar-SA"/>
    </w:rPr>
  </w:style>
  <w:style w:type="character" w:customStyle="1" w:styleId="337">
    <w:name w:val="ꌢ 2 Char"/>
    <w:link w:val="338"/>
    <w:qFormat/>
    <w:uiPriority w:val="0"/>
    <w:rPr>
      <w:rFonts w:ascii="Arial" w:hAnsi="Arial" w:cs="Arial"/>
      <w:b/>
    </w:rPr>
  </w:style>
  <w:style w:type="paragraph" w:customStyle="1" w:styleId="338">
    <w:name w:val="ꌢ 2"/>
    <w:basedOn w:val="1"/>
    <w:link w:val="337"/>
    <w:qFormat/>
    <w:uiPriority w:val="0"/>
    <w:pPr>
      <w:widowControl/>
    </w:pPr>
    <w:rPr>
      <w:rFonts w:ascii="Arial" w:hAnsi="Arial" w:cs="Arial"/>
      <w:b/>
    </w:rPr>
  </w:style>
  <w:style w:type="character" w:customStyle="1" w:styleId="339">
    <w:name w:val="书籍标题11"/>
    <w:qFormat/>
    <w:uiPriority w:val="0"/>
    <w:rPr>
      <w:b/>
      <w:smallCaps/>
      <w:spacing w:val="5"/>
    </w:rPr>
  </w:style>
  <w:style w:type="character" w:customStyle="1" w:styleId="340">
    <w:name w:val="标题 3 Char1"/>
    <w:qFormat/>
    <w:uiPriority w:val="0"/>
    <w:rPr>
      <w:rFonts w:ascii="Calibri" w:hAnsi="Calibri" w:eastAsia="宋体" w:cs="Arial"/>
      <w:b/>
      <w:sz w:val="32"/>
      <w:szCs w:val="20"/>
    </w:rPr>
  </w:style>
  <w:style w:type="character" w:customStyle="1" w:styleId="341">
    <w:name w:val="明显参考2"/>
    <w:qFormat/>
    <w:uiPriority w:val="0"/>
    <w:rPr>
      <w:b/>
      <w:bCs/>
      <w:smallCaps/>
      <w:color w:val="C0504D"/>
      <w:spacing w:val="5"/>
      <w:u w:val="single"/>
    </w:rPr>
  </w:style>
  <w:style w:type="character" w:customStyle="1" w:styleId="342">
    <w:name w:val="Intense Quote Char Char"/>
    <w:qFormat/>
    <w:uiPriority w:val="0"/>
    <w:rPr>
      <w:rFonts w:hint="eastAsia" w:ascii="宋体" w:hAnsi="宋体" w:eastAsia="宋体" w:cs="宋体"/>
      <w:b/>
      <w:i/>
      <w:color w:val="4F81BD"/>
      <w:sz w:val="21"/>
      <w:szCs w:val="24"/>
      <w:lang w:val="en-US" w:eastAsia="zh-CN"/>
    </w:rPr>
  </w:style>
  <w:style w:type="character" w:customStyle="1" w:styleId="343">
    <w:name w:val="正文文本缩进 Char2"/>
    <w:qFormat/>
    <w:uiPriority w:val="0"/>
    <w:rPr>
      <w:sz w:val="32"/>
      <w:szCs w:val="24"/>
    </w:rPr>
  </w:style>
  <w:style w:type="character" w:customStyle="1" w:styleId="344">
    <w:name w:val="批注框文本 Char1"/>
    <w:qFormat/>
    <w:uiPriority w:val="0"/>
    <w:rPr>
      <w:rFonts w:ascii="Times New Roman" w:hAnsi="Times New Roman" w:eastAsia="宋体" w:cs="Times New Roman"/>
      <w:sz w:val="18"/>
      <w:szCs w:val="18"/>
    </w:rPr>
  </w:style>
  <w:style w:type="character" w:customStyle="1" w:styleId="345">
    <w:name w:val="不明显强调1"/>
    <w:qFormat/>
    <w:uiPriority w:val="0"/>
    <w:rPr>
      <w:i/>
      <w:color w:val="808080"/>
    </w:rPr>
  </w:style>
  <w:style w:type="character" w:customStyle="1" w:styleId="346">
    <w:name w:val="引用 Char1"/>
    <w:qFormat/>
    <w:uiPriority w:val="29"/>
    <w:rPr>
      <w:rFonts w:ascii="Times New Roman" w:hAnsi="Times New Roman" w:eastAsia="宋体" w:cs="Times New Roman"/>
      <w:i/>
      <w:iCs/>
      <w:color w:val="000000"/>
      <w:szCs w:val="24"/>
    </w:rPr>
  </w:style>
  <w:style w:type="character" w:customStyle="1" w:styleId="347">
    <w:name w:val="标题 5 Char1"/>
    <w:qFormat/>
    <w:uiPriority w:val="0"/>
    <w:rPr>
      <w:rFonts w:hint="eastAsia" w:ascii="宋体" w:hAnsi="宋体" w:eastAsia="宋体" w:cs="宋体"/>
      <w:b/>
      <w:sz w:val="28"/>
      <w:szCs w:val="28"/>
      <w:lang w:val="en-US" w:eastAsia="zh-CN"/>
    </w:rPr>
  </w:style>
  <w:style w:type="character" w:customStyle="1" w:styleId="348">
    <w:name w:val="Heading 4 Char"/>
    <w:qFormat/>
    <w:uiPriority w:val="0"/>
    <w:rPr>
      <w:rFonts w:ascii="Arial" w:hAnsi="Arial" w:eastAsia="宋体"/>
      <w:b/>
      <w:bCs/>
      <w:sz w:val="21"/>
      <w:szCs w:val="28"/>
      <w:lang w:val="en-US" w:eastAsia="zh-CN" w:bidi="ar-SA"/>
    </w:rPr>
  </w:style>
  <w:style w:type="character" w:customStyle="1" w:styleId="349">
    <w:name w:val="小四 段落 宋体 Char1"/>
    <w:link w:val="350"/>
    <w:qFormat/>
    <w:uiPriority w:val="0"/>
    <w:rPr>
      <w:rFonts w:ascii="宋体" w:hAnsi="宋体" w:cs="宋体"/>
      <w:bCs/>
      <w:sz w:val="24"/>
      <w:szCs w:val="24"/>
    </w:rPr>
  </w:style>
  <w:style w:type="paragraph" w:customStyle="1" w:styleId="350">
    <w:name w:val="小四 段落 宋体"/>
    <w:basedOn w:val="13"/>
    <w:link w:val="349"/>
    <w:qFormat/>
    <w:uiPriority w:val="0"/>
    <w:pPr>
      <w:tabs>
        <w:tab w:val="clear" w:pos="0"/>
      </w:tabs>
      <w:spacing w:line="360" w:lineRule="auto"/>
      <w:ind w:left="113" w:right="113" w:firstLine="425"/>
      <w:jc w:val="left"/>
    </w:pPr>
    <w:rPr>
      <w:rFonts w:ascii="宋体" w:hAnsi="宋体" w:cs="宋体" w:eastAsiaTheme="minorEastAsia"/>
      <w:bCs/>
      <w:sz w:val="24"/>
      <w:szCs w:val="24"/>
    </w:rPr>
  </w:style>
  <w:style w:type="character" w:customStyle="1" w:styleId="351">
    <w:name w:val="尾注文本 Char1"/>
    <w:qFormat/>
    <w:uiPriority w:val="0"/>
    <w:rPr>
      <w:b/>
      <w:sz w:val="21"/>
      <w:szCs w:val="24"/>
    </w:rPr>
  </w:style>
  <w:style w:type="character" w:customStyle="1" w:styleId="352">
    <w:name w:val="脚注文本 Char1"/>
    <w:basedOn w:val="53"/>
    <w:link w:val="36"/>
    <w:qFormat/>
    <w:uiPriority w:val="0"/>
    <w:rPr>
      <w:rFonts w:ascii="Times New Roman" w:hAnsi="Times New Roman" w:eastAsia="宋体" w:cs="Times New Roman"/>
      <w:sz w:val="18"/>
      <w:szCs w:val="20"/>
    </w:rPr>
  </w:style>
  <w:style w:type="character" w:customStyle="1" w:styleId="353">
    <w:name w:val="IRMS (F) Char2"/>
    <w:qFormat/>
    <w:uiPriority w:val="0"/>
    <w:rPr>
      <w:sz w:val="18"/>
    </w:rPr>
  </w:style>
  <w:style w:type="character" w:customStyle="1" w:styleId="354">
    <w:name w:val="引用 Char2"/>
    <w:qFormat/>
    <w:uiPriority w:val="0"/>
    <w:rPr>
      <w:i/>
      <w:color w:val="000000"/>
      <w:sz w:val="21"/>
      <w:szCs w:val="24"/>
    </w:rPr>
  </w:style>
  <w:style w:type="paragraph" w:styleId="355">
    <w:name w:val="Quote"/>
    <w:basedOn w:val="1"/>
    <w:next w:val="1"/>
    <w:link w:val="356"/>
    <w:qFormat/>
    <w:uiPriority w:val="0"/>
    <w:rPr>
      <w:rFonts w:ascii="Times New Roman" w:hAnsi="Times New Roman" w:eastAsia="宋体" w:cs="Times New Roman"/>
      <w:i/>
      <w:color w:val="000000"/>
      <w:szCs w:val="24"/>
    </w:rPr>
  </w:style>
  <w:style w:type="character" w:customStyle="1" w:styleId="356">
    <w:name w:val="引用 Char"/>
    <w:basedOn w:val="53"/>
    <w:link w:val="355"/>
    <w:qFormat/>
    <w:uiPriority w:val="0"/>
    <w:rPr>
      <w:rFonts w:ascii="Times New Roman" w:hAnsi="Times New Roman" w:eastAsia="宋体" w:cs="Times New Roman"/>
      <w:i/>
      <w:color w:val="000000"/>
      <w:szCs w:val="24"/>
    </w:rPr>
  </w:style>
  <w:style w:type="character" w:customStyle="1" w:styleId="357">
    <w:name w:val="Char Char19"/>
    <w:qFormat/>
    <w:uiPriority w:val="0"/>
    <w:rPr>
      <w:rFonts w:ascii="Arial" w:hAnsi="Arial" w:eastAsia="宋体" w:cs="Times New Roman"/>
      <w:b/>
      <w:bCs/>
      <w:szCs w:val="28"/>
    </w:rPr>
  </w:style>
  <w:style w:type="character" w:customStyle="1" w:styleId="358">
    <w:name w:val="标题 Char2"/>
    <w:qFormat/>
    <w:uiPriority w:val="0"/>
    <w:rPr>
      <w:rFonts w:ascii="Cambria" w:hAnsi="Cambria" w:eastAsia="宋体" w:cs="Times New Roman"/>
      <w:b/>
      <w:bCs/>
      <w:sz w:val="32"/>
      <w:szCs w:val="32"/>
    </w:rPr>
  </w:style>
  <w:style w:type="character" w:customStyle="1" w:styleId="359">
    <w:name w:val="Char Char1"/>
    <w:qFormat/>
    <w:uiPriority w:val="0"/>
    <w:rPr>
      <w:rFonts w:hint="eastAsia" w:ascii="宋体" w:hAnsi="Courier New" w:eastAsia="宋体" w:cs="宋体"/>
      <w:sz w:val="21"/>
      <w:lang w:val="en-US" w:eastAsia="zh-CN"/>
    </w:rPr>
  </w:style>
  <w:style w:type="character" w:customStyle="1" w:styleId="360">
    <w:name w:val="标题 9 Char Char"/>
    <w:qFormat/>
    <w:uiPriority w:val="0"/>
    <w:rPr>
      <w:rFonts w:hint="default" w:ascii="Cambria" w:hAnsi="Cambria" w:eastAsia="宋体" w:cs="Cambria"/>
      <w:sz w:val="21"/>
      <w:szCs w:val="21"/>
    </w:rPr>
  </w:style>
  <w:style w:type="character" w:customStyle="1" w:styleId="361">
    <w:name w:val="Variable"/>
    <w:qFormat/>
    <w:uiPriority w:val="0"/>
    <w:rPr>
      <w:i/>
    </w:rPr>
  </w:style>
  <w:style w:type="character" w:customStyle="1" w:styleId="362">
    <w:name w:val="正文文本缩进 3 Char1"/>
    <w:qFormat/>
    <w:uiPriority w:val="0"/>
    <w:rPr>
      <w:rFonts w:hint="default" w:ascii="Arial Unicode MS" w:hAnsi="Arial Unicode MS" w:eastAsia="Arial Unicode MS" w:cs="Arial Unicode MS"/>
      <w:color w:val="000000"/>
      <w:sz w:val="24"/>
      <w:szCs w:val="24"/>
    </w:rPr>
  </w:style>
  <w:style w:type="character" w:customStyle="1" w:styleId="363">
    <w:name w:val="msointenseemphasis"/>
    <w:qFormat/>
    <w:uiPriority w:val="0"/>
    <w:rPr>
      <w:b/>
      <w:i/>
      <w:color w:val="4F81BD"/>
    </w:rPr>
  </w:style>
  <w:style w:type="character" w:customStyle="1" w:styleId="364">
    <w:name w:val="引用 Char Char"/>
    <w:qFormat/>
    <w:uiPriority w:val="0"/>
    <w:rPr>
      <w:rFonts w:hint="eastAsia" w:ascii="宋体" w:hAnsi="宋体" w:eastAsia="宋体" w:cs="宋体"/>
      <w:i/>
      <w:color w:val="000000"/>
      <w:sz w:val="21"/>
      <w:szCs w:val="24"/>
    </w:rPr>
  </w:style>
  <w:style w:type="character" w:customStyle="1" w:styleId="365">
    <w:name w:val="标题 8 Char Char"/>
    <w:qFormat/>
    <w:uiPriority w:val="0"/>
    <w:rPr>
      <w:rFonts w:hint="default" w:ascii="Cambria" w:hAnsi="Cambria" w:eastAsia="宋体" w:cs="Cambria"/>
      <w:sz w:val="24"/>
      <w:szCs w:val="24"/>
    </w:rPr>
  </w:style>
  <w:style w:type="character" w:customStyle="1" w:styleId="366">
    <w:name w:val="标题 4 Char Char"/>
    <w:qFormat/>
    <w:uiPriority w:val="0"/>
    <w:rPr>
      <w:rFonts w:hint="default" w:ascii="Cambria" w:hAnsi="Cambria" w:eastAsia="宋体" w:cs="Cambria"/>
      <w:b/>
      <w:sz w:val="28"/>
      <w:szCs w:val="28"/>
    </w:rPr>
  </w:style>
  <w:style w:type="character" w:customStyle="1" w:styleId="367">
    <w:name w:val="msosubtleemphasis"/>
    <w:qFormat/>
    <w:uiPriority w:val="0"/>
    <w:rPr>
      <w:i/>
      <w:color w:val="808080"/>
    </w:rPr>
  </w:style>
  <w:style w:type="character" w:customStyle="1" w:styleId="368">
    <w:name w:val="正文首行缩进 Char1"/>
    <w:basedOn w:val="215"/>
    <w:link w:val="49"/>
    <w:qFormat/>
    <w:uiPriority w:val="0"/>
    <w:rPr>
      <w:rFonts w:ascii="Times New Roman" w:hAnsi="Times New Roman" w:eastAsia="宋体" w:cs="Times New Roman"/>
      <w:sz w:val="28"/>
      <w:szCs w:val="24"/>
    </w:rPr>
  </w:style>
  <w:style w:type="character" w:customStyle="1" w:styleId="369">
    <w:name w:val="font161"/>
    <w:qFormat/>
    <w:uiPriority w:val="0"/>
    <w:rPr>
      <w:b/>
      <w:sz w:val="32"/>
    </w:rPr>
  </w:style>
  <w:style w:type="character" w:customStyle="1" w:styleId="370">
    <w:name w:val="表格标题_"/>
    <w:qFormat/>
    <w:uiPriority w:val="0"/>
    <w:rPr>
      <w:rFonts w:hint="eastAsia" w:ascii="宋体" w:hAnsi="宋体" w:eastAsia="宋体" w:cs="宋体"/>
      <w:spacing w:val="30"/>
      <w:sz w:val="21"/>
      <w:szCs w:val="21"/>
      <w:shd w:val="clear" w:color="auto" w:fill="FFFFFF"/>
    </w:rPr>
  </w:style>
  <w:style w:type="character" w:customStyle="1" w:styleId="371">
    <w:name w:val="msobooktitle"/>
    <w:qFormat/>
    <w:uiPriority w:val="0"/>
    <w:rPr>
      <w:b/>
      <w:smallCaps/>
      <w:spacing w:val="5"/>
    </w:rPr>
  </w:style>
  <w:style w:type="character" w:customStyle="1" w:styleId="372">
    <w:name w:val="引用 Char3"/>
    <w:qFormat/>
    <w:uiPriority w:val="0"/>
    <w:rPr>
      <w:i/>
      <w:color w:val="000000"/>
      <w:sz w:val="21"/>
      <w:szCs w:val="24"/>
    </w:rPr>
  </w:style>
  <w:style w:type="character" w:customStyle="1" w:styleId="373">
    <w:name w:val="标题 2 Char Char"/>
    <w:qFormat/>
    <w:uiPriority w:val="0"/>
    <w:rPr>
      <w:rFonts w:hint="default" w:ascii="Arial" w:hAnsi="Arial" w:eastAsia="黑体" w:cs="Arial"/>
      <w:b/>
      <w:sz w:val="32"/>
      <w:szCs w:val="32"/>
      <w:lang w:val="en-US" w:eastAsia="zh-CN"/>
    </w:rPr>
  </w:style>
  <w:style w:type="character" w:customStyle="1" w:styleId="374">
    <w:name w:val="Char Char6"/>
    <w:qFormat/>
    <w:uiPriority w:val="0"/>
    <w:rPr>
      <w:rFonts w:eastAsia="宋体"/>
      <w:b/>
      <w:bCs/>
      <w:sz w:val="32"/>
      <w:szCs w:val="44"/>
      <w:lang w:val="en-US" w:eastAsia="zh-CN" w:bidi="ar-SA"/>
    </w:rPr>
  </w:style>
  <w:style w:type="character" w:customStyle="1" w:styleId="375">
    <w:name w:val="Char Char8"/>
    <w:qFormat/>
    <w:uiPriority w:val="0"/>
    <w:rPr>
      <w:rFonts w:hint="eastAsia" w:ascii="宋体" w:hAnsi="宋体" w:eastAsia="宋体" w:cs="宋体"/>
      <w:sz w:val="21"/>
      <w:szCs w:val="24"/>
      <w:lang w:val="en-US" w:eastAsia="zh-CN"/>
    </w:rPr>
  </w:style>
  <w:style w:type="character" w:customStyle="1" w:styleId="376">
    <w:name w:val="标题4 Char Char"/>
    <w:link w:val="377"/>
    <w:qFormat/>
    <w:uiPriority w:val="0"/>
    <w:rPr>
      <w:rFonts w:ascii="Arial" w:hAnsi="Arial"/>
      <w:b/>
      <w:bCs/>
      <w:sz w:val="24"/>
      <w:szCs w:val="32"/>
    </w:rPr>
  </w:style>
  <w:style w:type="paragraph" w:customStyle="1" w:styleId="377">
    <w:name w:val="标题4"/>
    <w:basedOn w:val="3"/>
    <w:next w:val="21"/>
    <w:link w:val="376"/>
    <w:qFormat/>
    <w:uiPriority w:val="0"/>
    <w:pPr>
      <w:spacing w:before="60" w:after="60" w:line="413" w:lineRule="auto"/>
      <w:jc w:val="both"/>
    </w:pPr>
    <w:rPr>
      <w:rFonts w:eastAsiaTheme="minorEastAsia" w:cstheme="minorBidi"/>
      <w:bCs/>
      <w:sz w:val="24"/>
      <w:szCs w:val="32"/>
    </w:rPr>
  </w:style>
  <w:style w:type="character" w:customStyle="1" w:styleId="378">
    <w:name w:val="批注主题 Char Char"/>
    <w:qFormat/>
    <w:uiPriority w:val="0"/>
    <w:rPr>
      <w:rFonts w:hint="eastAsia" w:ascii="宋体" w:hAnsi="宋体" w:eastAsia="宋体" w:cs="宋体"/>
      <w:b/>
      <w:sz w:val="21"/>
      <w:szCs w:val="24"/>
    </w:rPr>
  </w:style>
  <w:style w:type="character" w:customStyle="1" w:styleId="379">
    <w:name w:val="Char Char14"/>
    <w:qFormat/>
    <w:uiPriority w:val="0"/>
    <w:rPr>
      <w:rFonts w:hint="eastAsia" w:ascii="宋体" w:hAnsi="宋体" w:eastAsia="宋体" w:cs="宋体"/>
      <w:sz w:val="32"/>
      <w:szCs w:val="24"/>
      <w:lang w:val="en-US" w:eastAsia="zh-CN"/>
    </w:rPr>
  </w:style>
  <w:style w:type="character" w:customStyle="1" w:styleId="380">
    <w:name w:val="z-窗体底端 Char"/>
    <w:qFormat/>
    <w:uiPriority w:val="0"/>
    <w:rPr>
      <w:rFonts w:hint="default" w:ascii="Arial" w:hAnsi="Arial" w:cs="Arial"/>
      <w:vanish/>
      <w:sz w:val="16"/>
      <w:szCs w:val="16"/>
    </w:rPr>
  </w:style>
  <w:style w:type="character" w:customStyle="1" w:styleId="381">
    <w:name w:val="Char Char32"/>
    <w:qFormat/>
    <w:uiPriority w:val="0"/>
    <w:rPr>
      <w:rFonts w:hint="default" w:ascii="Tahoma" w:hAnsi="Tahoma" w:eastAsia="Tahoma" w:cs="Tahoma"/>
      <w:sz w:val="24"/>
    </w:rPr>
  </w:style>
  <w:style w:type="character" w:customStyle="1" w:styleId="382">
    <w:name w:val="批注主题 Char2"/>
    <w:qFormat/>
    <w:uiPriority w:val="0"/>
    <w:rPr>
      <w:rFonts w:hint="default" w:ascii="Cambria" w:hAnsi="Cambria" w:eastAsia="宋体" w:cs="Cambria"/>
      <w:b/>
      <w:sz w:val="21"/>
      <w:szCs w:val="24"/>
      <w:lang w:val="en-US" w:eastAsia="zh-CN"/>
    </w:rPr>
  </w:style>
  <w:style w:type="character" w:customStyle="1" w:styleId="383">
    <w:name w:val="标题 1 Char Char"/>
    <w:qFormat/>
    <w:uiPriority w:val="0"/>
    <w:rPr>
      <w:rFonts w:hint="eastAsia" w:ascii="黑体" w:hAnsi="宋体" w:eastAsia="黑体" w:cs="黑体"/>
      <w:sz w:val="52"/>
      <w:lang w:val="en-US" w:eastAsia="zh-CN"/>
    </w:rPr>
  </w:style>
  <w:style w:type="character" w:customStyle="1" w:styleId="384">
    <w:name w:val="标题 7 Char Char"/>
    <w:qFormat/>
    <w:uiPriority w:val="0"/>
    <w:rPr>
      <w:rFonts w:hint="eastAsia" w:ascii="宋体" w:hAnsi="宋体" w:eastAsia="宋体" w:cs="宋体"/>
      <w:b/>
      <w:sz w:val="24"/>
      <w:szCs w:val="24"/>
    </w:rPr>
  </w:style>
  <w:style w:type="character" w:customStyle="1" w:styleId="385">
    <w:name w:val="Char Char16"/>
    <w:qFormat/>
    <w:uiPriority w:val="0"/>
    <w:rPr>
      <w:rFonts w:hint="default" w:ascii="Cambria" w:hAnsi="Cambria" w:eastAsia="宋体" w:cs="Cambria"/>
      <w:sz w:val="21"/>
    </w:rPr>
  </w:style>
  <w:style w:type="character" w:customStyle="1" w:styleId="386">
    <w:name w:val="IRMS (F) Char11"/>
    <w:qFormat/>
    <w:uiPriority w:val="0"/>
    <w:rPr>
      <w:rFonts w:hint="eastAsia" w:ascii="宋体" w:hAnsi="宋体" w:eastAsia="宋体" w:cs="宋体"/>
      <w:sz w:val="18"/>
      <w:szCs w:val="18"/>
      <w:lang w:val="en-US" w:eastAsia="zh-CN"/>
    </w:rPr>
  </w:style>
  <w:style w:type="character" w:customStyle="1" w:styleId="387">
    <w:name w:val="正文文本缩进 Char Char"/>
    <w:qFormat/>
    <w:uiPriority w:val="0"/>
    <w:rPr>
      <w:rFonts w:hint="eastAsia" w:ascii="宋体" w:hAnsi="宋体" w:eastAsia="宋体" w:cs="宋体"/>
      <w:sz w:val="32"/>
      <w:szCs w:val="24"/>
      <w:lang w:val="en-US" w:eastAsia="zh-CN"/>
    </w:rPr>
  </w:style>
  <w:style w:type="character" w:customStyle="1" w:styleId="388">
    <w:name w:val="正文文本 Char Char"/>
    <w:qFormat/>
    <w:uiPriority w:val="0"/>
    <w:rPr>
      <w:rFonts w:hint="eastAsia" w:ascii="宋体" w:hAnsi="宋体" w:eastAsia="宋体" w:cs="宋体"/>
      <w:sz w:val="21"/>
      <w:szCs w:val="21"/>
      <w:lang w:val="en-US" w:eastAsia="zh-CN"/>
    </w:rPr>
  </w:style>
  <w:style w:type="character" w:customStyle="1" w:styleId="389">
    <w:name w:val="Title Char"/>
    <w:qFormat/>
    <w:uiPriority w:val="0"/>
    <w:rPr>
      <w:rFonts w:ascii="Cambria" w:hAnsi="Cambria"/>
      <w:b/>
      <w:sz w:val="32"/>
      <w:lang w:bidi="ar-SA"/>
    </w:rPr>
  </w:style>
  <w:style w:type="character" w:customStyle="1" w:styleId="390">
    <w:name w:val="纯文本 Char Char"/>
    <w:qFormat/>
    <w:uiPriority w:val="0"/>
    <w:rPr>
      <w:rFonts w:hint="eastAsia" w:ascii="宋体" w:hAnsi="Courier New" w:eastAsia="宋体" w:cs="宋体"/>
      <w:sz w:val="21"/>
      <w:szCs w:val="21"/>
      <w:lang w:val="en-US" w:eastAsia="zh-CN"/>
    </w:rPr>
  </w:style>
  <w:style w:type="character" w:customStyle="1" w:styleId="391">
    <w:name w:val="副标题 Char2"/>
    <w:qFormat/>
    <w:uiPriority w:val="0"/>
    <w:rPr>
      <w:rFonts w:hint="default" w:ascii="Cambria" w:hAnsi="Cambria" w:eastAsia="Cambria" w:cs="Cambria"/>
      <w:b/>
      <w:sz w:val="32"/>
      <w:szCs w:val="32"/>
    </w:rPr>
  </w:style>
  <w:style w:type="character" w:customStyle="1" w:styleId="392">
    <w:name w:val="1page sec3 Char"/>
    <w:qFormat/>
    <w:uiPriority w:val="0"/>
    <w:rPr>
      <w:rFonts w:hint="eastAsia" w:ascii="宋体" w:hAnsi="宋体" w:eastAsia="宋体" w:cs="宋体"/>
      <w:sz w:val="18"/>
      <w:szCs w:val="18"/>
      <w:lang w:val="en-US" w:eastAsia="zh-CN"/>
    </w:rPr>
  </w:style>
  <w:style w:type="character" w:customStyle="1" w:styleId="393">
    <w:name w:val="副标题 Char1"/>
    <w:qFormat/>
    <w:uiPriority w:val="11"/>
    <w:rPr>
      <w:rFonts w:hint="default" w:ascii="Cambria" w:hAnsi="Cambria" w:cs="Times New Roman"/>
      <w:b/>
      <w:bCs/>
      <w:sz w:val="32"/>
      <w:szCs w:val="32"/>
    </w:rPr>
  </w:style>
  <w:style w:type="character" w:customStyle="1" w:styleId="394">
    <w:name w:val="表正文 Char"/>
    <w:qFormat/>
    <w:uiPriority w:val="0"/>
    <w:rPr>
      <w:sz w:val="21"/>
    </w:rPr>
  </w:style>
  <w:style w:type="character" w:customStyle="1" w:styleId="395">
    <w:name w:val="Char Char31"/>
    <w:qFormat/>
    <w:uiPriority w:val="0"/>
    <w:rPr>
      <w:rFonts w:hint="eastAsia" w:ascii="宋体" w:hAnsi="宋体" w:eastAsia="宋体" w:cs="宋体"/>
      <w:sz w:val="32"/>
      <w:szCs w:val="24"/>
      <w:lang w:val="en-US" w:eastAsia="zh-CN"/>
    </w:rPr>
  </w:style>
  <w:style w:type="character" w:customStyle="1" w:styleId="396">
    <w:name w:val="Normal - Small Char"/>
    <w:qFormat/>
    <w:uiPriority w:val="0"/>
    <w:rPr>
      <w:bCs/>
      <w:szCs w:val="22"/>
      <w:lang w:val="en-US" w:eastAsia="zh-TW"/>
    </w:rPr>
  </w:style>
  <w:style w:type="character" w:customStyle="1" w:styleId="397">
    <w:name w:val="Plain Text Char11"/>
    <w:qFormat/>
    <w:uiPriority w:val="0"/>
    <w:rPr>
      <w:rFonts w:hint="eastAsia" w:ascii="宋体" w:hAnsi="Courier New" w:eastAsia="宋体" w:cs="Courier New"/>
      <w:szCs w:val="21"/>
    </w:rPr>
  </w:style>
  <w:style w:type="character" w:customStyle="1" w:styleId="398">
    <w:name w:val="Heading 3 Char1"/>
    <w:qFormat/>
    <w:uiPriority w:val="0"/>
    <w:rPr>
      <w:rFonts w:eastAsia="宋体"/>
      <w:b/>
      <w:bCs/>
      <w:sz w:val="24"/>
      <w:szCs w:val="32"/>
      <w:lang w:val="en-US" w:eastAsia="zh-CN" w:bidi="ar-SA"/>
    </w:rPr>
  </w:style>
  <w:style w:type="character" w:customStyle="1" w:styleId="399">
    <w:name w:val="标题 6 Char Char"/>
    <w:qFormat/>
    <w:uiPriority w:val="0"/>
    <w:rPr>
      <w:rFonts w:hint="default" w:ascii="Cambria" w:hAnsi="Cambria" w:eastAsia="宋体" w:cs="Cambria"/>
      <w:b/>
      <w:sz w:val="24"/>
      <w:szCs w:val="24"/>
    </w:rPr>
  </w:style>
  <w:style w:type="character" w:customStyle="1" w:styleId="400">
    <w:name w:val="未处理的提及1"/>
    <w:qFormat/>
    <w:uiPriority w:val="0"/>
    <w:rPr>
      <w:color w:val="808080"/>
      <w:shd w:val="clear" w:color="auto" w:fill="E6E6E6"/>
    </w:rPr>
  </w:style>
  <w:style w:type="character" w:customStyle="1" w:styleId="401">
    <w:name w:val="明显引用 Char1"/>
    <w:qFormat/>
    <w:uiPriority w:val="30"/>
    <w:rPr>
      <w:rFonts w:ascii="Times New Roman" w:hAnsi="Times New Roman" w:eastAsia="宋体" w:cs="Times New Roman"/>
      <w:b/>
      <w:bCs/>
      <w:i/>
      <w:iCs/>
      <w:color w:val="4F81BD"/>
      <w:szCs w:val="24"/>
    </w:rPr>
  </w:style>
  <w:style w:type="character" w:customStyle="1" w:styleId="402">
    <w:name w:val="1page sec3 Char1"/>
    <w:qFormat/>
    <w:uiPriority w:val="0"/>
    <w:rPr>
      <w:rFonts w:hint="eastAsia" w:ascii="宋体" w:hAnsi="宋体" w:eastAsia="宋体" w:cs="宋体"/>
      <w:sz w:val="18"/>
      <w:szCs w:val="18"/>
      <w:lang w:val="en-US" w:eastAsia="zh-CN"/>
    </w:rPr>
  </w:style>
  <w:style w:type="character" w:customStyle="1" w:styleId="403">
    <w:name w:val="不明显强调11"/>
    <w:qFormat/>
    <w:uiPriority w:val="0"/>
    <w:rPr>
      <w:i/>
      <w:color w:val="808080"/>
    </w:rPr>
  </w:style>
  <w:style w:type="character" w:customStyle="1" w:styleId="404">
    <w:name w:val="Char Char4"/>
    <w:qFormat/>
    <w:uiPriority w:val="0"/>
    <w:rPr>
      <w:rFonts w:hint="default" w:ascii="Cambria" w:hAnsi="Cambria" w:eastAsia="宋体" w:cs="Cambria"/>
      <w:b/>
      <w:sz w:val="32"/>
      <w:szCs w:val="32"/>
      <w:lang w:val="en-US" w:eastAsia="zh-CN"/>
    </w:rPr>
  </w:style>
  <w:style w:type="character" w:customStyle="1" w:styleId="405">
    <w:name w:val="Char Char20"/>
    <w:qFormat/>
    <w:uiPriority w:val="0"/>
    <w:rPr>
      <w:rFonts w:ascii="Times New Roman" w:hAnsi="Times New Roman" w:eastAsia="宋体" w:cs="Times New Roman"/>
      <w:b/>
      <w:bCs/>
      <w:sz w:val="24"/>
      <w:szCs w:val="32"/>
    </w:rPr>
  </w:style>
  <w:style w:type="character" w:customStyle="1" w:styleId="406">
    <w:name w:val="Char Char18"/>
    <w:qFormat/>
    <w:uiPriority w:val="0"/>
    <w:rPr>
      <w:rFonts w:ascii="Times New Roman" w:hAnsi="Times New Roman" w:eastAsia="宋体" w:cs="Times New Roman"/>
      <w:b/>
      <w:bCs/>
      <w:sz w:val="28"/>
      <w:szCs w:val="28"/>
    </w:rPr>
  </w:style>
  <w:style w:type="character" w:customStyle="1" w:styleId="407">
    <w:name w:val="书籍标题1"/>
    <w:qFormat/>
    <w:uiPriority w:val="0"/>
    <w:rPr>
      <w:b/>
      <w:smallCaps/>
      <w:spacing w:val="5"/>
    </w:rPr>
  </w:style>
  <w:style w:type="character" w:customStyle="1" w:styleId="408">
    <w:name w:val="不明显参考1"/>
    <w:qFormat/>
    <w:uiPriority w:val="0"/>
    <w:rPr>
      <w:smallCaps/>
      <w:color w:val="C0504D"/>
      <w:u w:val="single"/>
    </w:rPr>
  </w:style>
  <w:style w:type="character" w:customStyle="1" w:styleId="409">
    <w:name w:val="Char Char"/>
    <w:qFormat/>
    <w:uiPriority w:val="0"/>
    <w:rPr>
      <w:sz w:val="21"/>
    </w:rPr>
  </w:style>
  <w:style w:type="character" w:customStyle="1" w:styleId="410">
    <w:name w:val="Comment Text Char1"/>
    <w:qFormat/>
    <w:uiPriority w:val="0"/>
    <w:rPr>
      <w:sz w:val="24"/>
      <w:lang w:bidi="ar-SA"/>
    </w:rPr>
  </w:style>
  <w:style w:type="character" w:customStyle="1" w:styleId="411">
    <w:name w:val="textcontents"/>
    <w:qFormat/>
    <w:uiPriority w:val="0"/>
    <w:rPr>
      <w:rFonts w:cs="Times New Roman"/>
    </w:rPr>
  </w:style>
  <w:style w:type="character" w:customStyle="1" w:styleId="412">
    <w:name w:val="Char Char5"/>
    <w:qFormat/>
    <w:uiPriority w:val="0"/>
    <w:rPr>
      <w:rFonts w:hint="default" w:ascii="Cambria" w:hAnsi="Cambria" w:eastAsia="宋体" w:cs="Cambria"/>
      <w:b/>
      <w:sz w:val="32"/>
      <w:szCs w:val="32"/>
      <w:lang w:val="en-US" w:eastAsia="zh-CN"/>
    </w:rPr>
  </w:style>
  <w:style w:type="character" w:customStyle="1" w:styleId="413">
    <w:name w:val="ꌢ 3 Char"/>
    <w:link w:val="414"/>
    <w:qFormat/>
    <w:uiPriority w:val="0"/>
    <w:rPr>
      <w:rFonts w:ascii="Ђˎ̥" w:hAnsi="Ђˎ̥" w:eastAsia="Ђˎ̥" w:cs="Ђˎ̥"/>
      <w:b/>
    </w:rPr>
  </w:style>
  <w:style w:type="paragraph" w:customStyle="1" w:styleId="414">
    <w:name w:val="ꌢ 3"/>
    <w:basedOn w:val="1"/>
    <w:link w:val="413"/>
    <w:qFormat/>
    <w:uiPriority w:val="0"/>
    <w:pPr>
      <w:widowControl/>
    </w:pPr>
    <w:rPr>
      <w:rFonts w:ascii="Ђˎ̥" w:hAnsi="Ђˎ̥" w:eastAsia="Ђˎ̥" w:cs="Ђˎ̥"/>
      <w:b/>
    </w:rPr>
  </w:style>
  <w:style w:type="character" w:customStyle="1" w:styleId="415">
    <w:name w:val="纯文本 Char1"/>
    <w:qFormat/>
    <w:uiPriority w:val="0"/>
    <w:rPr>
      <w:rFonts w:ascii="宋体" w:hAnsi="Courier New" w:eastAsia="宋体" w:cs="Courier New"/>
      <w:szCs w:val="21"/>
    </w:rPr>
  </w:style>
  <w:style w:type="character" w:customStyle="1" w:styleId="416">
    <w:name w:val="ҳŻ"/>
    <w:link w:val="417"/>
    <w:qFormat/>
    <w:uiPriority w:val="0"/>
    <w:rPr>
      <w:rFonts w:ascii="宋体" w:hAnsi="宋体" w:cs="宋体"/>
      <w:sz w:val="32"/>
      <w:szCs w:val="32"/>
    </w:rPr>
  </w:style>
  <w:style w:type="paragraph" w:customStyle="1" w:styleId="417">
    <w:name w:val="ҳŠChar1"/>
    <w:basedOn w:val="1"/>
    <w:link w:val="416"/>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418">
    <w:name w:val="Char Char15"/>
    <w:qFormat/>
    <w:uiPriority w:val="0"/>
    <w:rPr>
      <w:sz w:val="24"/>
    </w:rPr>
  </w:style>
  <w:style w:type="character" w:customStyle="1" w:styleId="419">
    <w:name w:val="超链接_0"/>
    <w:qFormat/>
    <w:uiPriority w:val="99"/>
    <w:rPr>
      <w:rFonts w:ascii="Calibri" w:hAnsi="Calibri" w:cs="Times New Roman"/>
      <w:color w:val="0000FF"/>
      <w:u w:val="single"/>
    </w:rPr>
  </w:style>
  <w:style w:type="character" w:customStyle="1" w:styleId="420">
    <w:name w:val="标题 Char3"/>
    <w:basedOn w:val="53"/>
    <w:link w:val="47"/>
    <w:qFormat/>
    <w:uiPriority w:val="0"/>
    <w:rPr>
      <w:rFonts w:ascii="Cambria" w:hAnsi="Cambria" w:eastAsia="宋体" w:cs="Times New Roman"/>
      <w:b/>
      <w:bCs/>
      <w:sz w:val="32"/>
      <w:szCs w:val="32"/>
    </w:rPr>
  </w:style>
  <w:style w:type="character" w:customStyle="1" w:styleId="421">
    <w:name w:val="副标题 Char Char"/>
    <w:qFormat/>
    <w:uiPriority w:val="0"/>
    <w:rPr>
      <w:rFonts w:hint="default" w:ascii="Cambria" w:hAnsi="Cambria" w:eastAsia="宋体" w:cs="Cambria"/>
      <w:b/>
      <w:sz w:val="32"/>
      <w:szCs w:val="32"/>
    </w:rPr>
  </w:style>
  <w:style w:type="character" w:customStyle="1" w:styleId="422">
    <w:name w:val="明显引用 Char2"/>
    <w:qFormat/>
    <w:uiPriority w:val="0"/>
    <w:rPr>
      <w:b/>
      <w:i/>
      <w:color w:val="4F81BD"/>
      <w:sz w:val="21"/>
      <w:szCs w:val="24"/>
    </w:rPr>
  </w:style>
  <w:style w:type="paragraph" w:styleId="423">
    <w:name w:val="Intense Quote"/>
    <w:basedOn w:val="1"/>
    <w:next w:val="1"/>
    <w:link w:val="424"/>
    <w:qFormat/>
    <w:uiPriority w:val="0"/>
    <w:pPr>
      <w:pBdr>
        <w:bottom w:val="single" w:color="4F81BD" w:sz="4" w:space="4"/>
      </w:pBdr>
      <w:spacing w:before="200" w:after="280"/>
      <w:ind w:left="936" w:right="936"/>
    </w:pPr>
    <w:rPr>
      <w:rFonts w:ascii="Times New Roman" w:hAnsi="Times New Roman" w:eastAsia="宋体" w:cs="Times New Roman"/>
      <w:b/>
      <w:i/>
      <w:color w:val="4F81BD"/>
      <w:szCs w:val="24"/>
    </w:rPr>
  </w:style>
  <w:style w:type="character" w:customStyle="1" w:styleId="424">
    <w:name w:val="明显引用 Char"/>
    <w:basedOn w:val="53"/>
    <w:link w:val="423"/>
    <w:qFormat/>
    <w:uiPriority w:val="0"/>
    <w:rPr>
      <w:rFonts w:ascii="Times New Roman" w:hAnsi="Times New Roman" w:eastAsia="宋体" w:cs="Times New Roman"/>
      <w:b/>
      <w:i/>
      <w:color w:val="4F81BD"/>
      <w:szCs w:val="24"/>
    </w:rPr>
  </w:style>
  <w:style w:type="character" w:customStyle="1" w:styleId="425">
    <w:name w:val="Char Char3"/>
    <w:qFormat/>
    <w:uiPriority w:val="0"/>
    <w:rPr>
      <w:rFonts w:hint="eastAsia" w:ascii="宋体" w:hAnsi="宋体" w:eastAsia="宋体" w:cs="宋体"/>
      <w:sz w:val="21"/>
      <w:szCs w:val="24"/>
      <w:lang w:val="en-US" w:eastAsia="zh-CN"/>
    </w:rPr>
  </w:style>
  <w:style w:type="character" w:customStyle="1" w:styleId="426">
    <w:name w:val="批注文字 Char3"/>
    <w:qFormat/>
    <w:uiPriority w:val="0"/>
    <w:rPr>
      <w:sz w:val="21"/>
      <w:szCs w:val="24"/>
    </w:rPr>
  </w:style>
  <w:style w:type="character" w:customStyle="1" w:styleId="427">
    <w:name w:val="Body Text Indent 2 Char"/>
    <w:qFormat/>
    <w:uiPriority w:val="0"/>
    <w:rPr>
      <w:rFonts w:eastAsia="宋体"/>
      <w:sz w:val="21"/>
      <w:szCs w:val="24"/>
      <w:lang w:val="en-US" w:eastAsia="zh-CN" w:bidi="ar-SA"/>
    </w:rPr>
  </w:style>
  <w:style w:type="character" w:customStyle="1" w:styleId="428">
    <w:name w:val="z-窗体顶端 Char"/>
    <w:qFormat/>
    <w:uiPriority w:val="0"/>
    <w:rPr>
      <w:rFonts w:hint="default" w:ascii="Arial" w:hAnsi="Arial" w:cs="Arial"/>
      <w:vanish/>
      <w:sz w:val="16"/>
      <w:szCs w:val="16"/>
    </w:rPr>
  </w:style>
  <w:style w:type="character" w:customStyle="1" w:styleId="429">
    <w:name w:val="Char Char10"/>
    <w:qFormat/>
    <w:uiPriority w:val="0"/>
    <w:rPr>
      <w:rFonts w:hint="default" w:ascii="Cambria" w:hAnsi="Cambria" w:eastAsia="宋体" w:cs="Cambria"/>
      <w:b/>
      <w:sz w:val="32"/>
      <w:szCs w:val="32"/>
      <w:lang w:val="en-US" w:eastAsia="zh-CN"/>
    </w:rPr>
  </w:style>
  <w:style w:type="character" w:customStyle="1" w:styleId="430">
    <w:name w:val="标题5 Char Char"/>
    <w:link w:val="431"/>
    <w:qFormat/>
    <w:uiPriority w:val="0"/>
    <w:rPr>
      <w:rFonts w:ascii="Arial" w:hAnsi="Arial"/>
      <w:b/>
      <w:bCs/>
      <w:sz w:val="24"/>
      <w:szCs w:val="32"/>
    </w:rPr>
  </w:style>
  <w:style w:type="paragraph" w:customStyle="1" w:styleId="431">
    <w:name w:val="标题5"/>
    <w:basedOn w:val="4"/>
    <w:link w:val="430"/>
    <w:qFormat/>
    <w:uiPriority w:val="0"/>
    <w:pPr>
      <w:spacing w:line="413" w:lineRule="auto"/>
    </w:pPr>
    <w:rPr>
      <w:rFonts w:ascii="Arial" w:hAnsi="Arial" w:eastAsiaTheme="minorEastAsia" w:cstheme="minorBidi"/>
      <w:bCs/>
      <w:sz w:val="24"/>
      <w:szCs w:val="32"/>
    </w:rPr>
  </w:style>
  <w:style w:type="character" w:customStyle="1" w:styleId="432">
    <w:name w:val="普通文字 Char Char1"/>
    <w:qFormat/>
    <w:uiPriority w:val="0"/>
    <w:rPr>
      <w:rFonts w:hint="eastAsia" w:ascii="宋体" w:hAnsi="Courier New" w:eastAsia="宋体" w:cs="宋体"/>
      <w:sz w:val="21"/>
      <w:lang w:val="en-US" w:eastAsia="zh-CN"/>
    </w:rPr>
  </w:style>
  <w:style w:type="character" w:customStyle="1" w:styleId="433">
    <w:name w:val="Char Char71"/>
    <w:qFormat/>
    <w:uiPriority w:val="0"/>
    <w:rPr>
      <w:rFonts w:hint="default" w:ascii="Arial" w:hAnsi="Arial" w:eastAsia="黑体" w:cs="Times New Roman"/>
      <w:b/>
      <w:sz w:val="32"/>
      <w:szCs w:val="32"/>
      <w:lang w:val="en-US" w:eastAsia="zh-CN"/>
    </w:rPr>
  </w:style>
  <w:style w:type="character" w:customStyle="1" w:styleId="434">
    <w:name w:val="纯文本 Char3"/>
    <w:qFormat/>
    <w:uiPriority w:val="0"/>
    <w:rPr>
      <w:rFonts w:hint="eastAsia" w:ascii="宋体" w:hAnsi="Courier New" w:eastAsia="宋体" w:cs="宋体"/>
      <w:sz w:val="21"/>
    </w:rPr>
  </w:style>
  <w:style w:type="character" w:customStyle="1" w:styleId="435">
    <w:name w:val="日期 Char Char"/>
    <w:qFormat/>
    <w:uiPriority w:val="0"/>
    <w:rPr>
      <w:rFonts w:hint="eastAsia" w:ascii="仿宋_GB2312" w:eastAsia="仿宋_GB2312" w:cs="仿宋_GB2312"/>
      <w:sz w:val="28"/>
      <w:szCs w:val="24"/>
      <w:lang w:val="en-US" w:eastAsia="zh-CN"/>
    </w:rPr>
  </w:style>
  <w:style w:type="character" w:customStyle="1" w:styleId="436">
    <w:name w:val="Comment Subject Char"/>
    <w:qFormat/>
    <w:uiPriority w:val="0"/>
    <w:rPr>
      <w:b/>
      <w:sz w:val="24"/>
      <w:lang w:bidi="ar-SA"/>
    </w:rPr>
  </w:style>
  <w:style w:type="character" w:customStyle="1" w:styleId="437">
    <w:name w:val="纯文本 Char4"/>
    <w:qFormat/>
    <w:uiPriority w:val="0"/>
    <w:rPr>
      <w:rFonts w:hint="eastAsia" w:ascii="宋体" w:hAnsi="Courier New" w:eastAsia="宋体" w:cs="宋体"/>
      <w:sz w:val="21"/>
      <w:szCs w:val="21"/>
      <w:lang w:val="en-US" w:eastAsia="zh-CN"/>
    </w:rPr>
  </w:style>
  <w:style w:type="character" w:customStyle="1" w:styleId="438">
    <w:name w:val="正文文本 + 间距 0 pt3"/>
    <w:qFormat/>
    <w:uiPriority w:val="0"/>
    <w:rPr>
      <w:rFonts w:hint="eastAsia" w:ascii="宋体" w:hAnsi="宋体" w:eastAsia="宋体" w:cs="宋体"/>
      <w:spacing w:val="10"/>
      <w:sz w:val="21"/>
      <w:szCs w:val="24"/>
      <w:lang w:val="en-US" w:eastAsia="en-US"/>
    </w:rPr>
  </w:style>
  <w:style w:type="character" w:customStyle="1" w:styleId="439">
    <w:name w:val="不明显强调2"/>
    <w:qFormat/>
    <w:uiPriority w:val="0"/>
    <w:rPr>
      <w:i/>
      <w:iCs/>
      <w:color w:val="808080"/>
    </w:rPr>
  </w:style>
  <w:style w:type="character" w:customStyle="1" w:styleId="440">
    <w:name w:val="Quote Char"/>
    <w:link w:val="441"/>
    <w:qFormat/>
    <w:uiPriority w:val="0"/>
    <w:rPr>
      <w:i/>
      <w:color w:val="000000"/>
      <w:szCs w:val="24"/>
    </w:rPr>
  </w:style>
  <w:style w:type="paragraph" w:customStyle="1" w:styleId="441">
    <w:name w:val="引用1"/>
    <w:basedOn w:val="1"/>
    <w:next w:val="1"/>
    <w:link w:val="440"/>
    <w:qFormat/>
    <w:uiPriority w:val="0"/>
    <w:rPr>
      <w:i/>
      <w:color w:val="000000"/>
      <w:szCs w:val="24"/>
    </w:rPr>
  </w:style>
  <w:style w:type="character" w:customStyle="1" w:styleId="442">
    <w:name w:val="文档结构图 Char1"/>
    <w:qFormat/>
    <w:uiPriority w:val="0"/>
    <w:rPr>
      <w:rFonts w:ascii="宋体" w:hAnsi="Times New Roman" w:eastAsia="宋体" w:cs="Times New Roman"/>
      <w:sz w:val="18"/>
      <w:szCs w:val="18"/>
    </w:rPr>
  </w:style>
  <w:style w:type="character" w:customStyle="1" w:styleId="443">
    <w:name w:val="正文文本缩进 3 Char Char"/>
    <w:qFormat/>
    <w:uiPriority w:val="0"/>
    <w:rPr>
      <w:rFonts w:hint="eastAsia" w:ascii="仿宋_GB2312" w:eastAsia="仿宋_GB2312" w:cs="仿宋_GB2312"/>
      <w:sz w:val="28"/>
      <w:szCs w:val="24"/>
      <w:lang w:val="en-US" w:eastAsia="zh-CN"/>
    </w:rPr>
  </w:style>
  <w:style w:type="character" w:customStyle="1" w:styleId="444">
    <w:name w:val="IRMS (F) Char1"/>
    <w:qFormat/>
    <w:uiPriority w:val="0"/>
    <w:rPr>
      <w:rFonts w:hint="eastAsia" w:ascii="宋体" w:hAnsi="宋体" w:eastAsia="宋体" w:cs="宋体"/>
      <w:sz w:val="18"/>
      <w:szCs w:val="18"/>
      <w:lang w:val="en-US" w:eastAsia="zh-CN"/>
    </w:rPr>
  </w:style>
  <w:style w:type="character" w:customStyle="1" w:styleId="445">
    <w:name w:val="Intense Quote Char"/>
    <w:link w:val="446"/>
    <w:qFormat/>
    <w:uiPriority w:val="0"/>
    <w:rPr>
      <w:b/>
      <w:i/>
      <w:color w:val="4F81BD"/>
      <w:szCs w:val="24"/>
    </w:rPr>
  </w:style>
  <w:style w:type="paragraph" w:customStyle="1" w:styleId="446">
    <w:name w:val="明显引用1"/>
    <w:basedOn w:val="1"/>
    <w:next w:val="1"/>
    <w:link w:val="445"/>
    <w:qFormat/>
    <w:uiPriority w:val="0"/>
    <w:pPr>
      <w:pBdr>
        <w:bottom w:val="single" w:color="4F81BD" w:sz="4" w:space="4"/>
      </w:pBdr>
      <w:spacing w:before="200" w:after="280"/>
      <w:ind w:left="936" w:right="936"/>
    </w:pPr>
    <w:rPr>
      <w:b/>
      <w:i/>
      <w:color w:val="4F81BD"/>
      <w:szCs w:val="24"/>
    </w:rPr>
  </w:style>
  <w:style w:type="character" w:customStyle="1" w:styleId="447">
    <w:name w:val="纯文本 Char2"/>
    <w:qFormat/>
    <w:uiPriority w:val="0"/>
    <w:rPr>
      <w:rFonts w:hint="eastAsia" w:ascii="宋体" w:hAnsi="Courier New" w:eastAsia="宋体" w:cs="宋体"/>
      <w:sz w:val="21"/>
    </w:rPr>
  </w:style>
  <w:style w:type="character" w:customStyle="1" w:styleId="448">
    <w:name w:val="书籍标题2"/>
    <w:qFormat/>
    <w:uiPriority w:val="0"/>
    <w:rPr>
      <w:b/>
      <w:bCs/>
      <w:smallCaps/>
      <w:spacing w:val="5"/>
    </w:rPr>
  </w:style>
  <w:style w:type="character" w:customStyle="1" w:styleId="449">
    <w:name w:val="正文文本 Char1"/>
    <w:qFormat/>
    <w:uiPriority w:val="0"/>
    <w:rPr>
      <w:sz w:val="21"/>
      <w:szCs w:val="22"/>
    </w:rPr>
  </w:style>
  <w:style w:type="character" w:customStyle="1" w:styleId="450">
    <w:name w:val="Char Char Char"/>
    <w:qFormat/>
    <w:uiPriority w:val="0"/>
    <w:rPr>
      <w:rFonts w:hint="eastAsia" w:ascii="宋体" w:hAnsi="宋体" w:eastAsia="宋体" w:cs="宋体"/>
      <w:sz w:val="21"/>
      <w:szCs w:val="24"/>
      <w:lang w:val="en-US" w:eastAsia="zh-CN"/>
    </w:rPr>
  </w:style>
  <w:style w:type="character" w:customStyle="1" w:styleId="451">
    <w:name w:val="Char Char7"/>
    <w:qFormat/>
    <w:uiPriority w:val="0"/>
    <w:rPr>
      <w:rFonts w:hint="default" w:ascii="Cambria" w:hAnsi="Cambria" w:eastAsia="Cambria" w:cs="Cambria"/>
      <w:b/>
      <w:sz w:val="32"/>
    </w:rPr>
  </w:style>
  <w:style w:type="character" w:customStyle="1" w:styleId="452">
    <w:name w:val="Heading 2 Char"/>
    <w:qFormat/>
    <w:uiPriority w:val="0"/>
    <w:rPr>
      <w:rFonts w:ascii="Arial" w:hAnsi="Arial" w:eastAsia="黑体"/>
      <w:b/>
      <w:bCs/>
      <w:sz w:val="32"/>
      <w:szCs w:val="32"/>
      <w:lang w:val="en-US" w:eastAsia="zh-CN" w:bidi="ar-SA"/>
    </w:rPr>
  </w:style>
  <w:style w:type="character" w:customStyle="1" w:styleId="453">
    <w:name w:val="Date Char"/>
    <w:qFormat/>
    <w:uiPriority w:val="0"/>
    <w:rPr>
      <w:rFonts w:eastAsia="宋体"/>
      <w:sz w:val="21"/>
      <w:szCs w:val="24"/>
      <w:lang w:val="en-US" w:eastAsia="zh-CN" w:bidi="ar-SA"/>
    </w:rPr>
  </w:style>
  <w:style w:type="character" w:customStyle="1" w:styleId="454">
    <w:name w:val="明显引用 Char3"/>
    <w:qFormat/>
    <w:uiPriority w:val="0"/>
    <w:rPr>
      <w:b/>
      <w:i/>
      <w:color w:val="4F81BD"/>
      <w:sz w:val="21"/>
      <w:szCs w:val="24"/>
    </w:rPr>
  </w:style>
  <w:style w:type="character" w:customStyle="1" w:styleId="455">
    <w:name w:val="正文文本 + 间距 0 pt"/>
    <w:qFormat/>
    <w:uiPriority w:val="0"/>
    <w:rPr>
      <w:rFonts w:hint="eastAsia" w:ascii="宋体" w:hAnsi="宋体" w:eastAsia="宋体" w:cs="宋体"/>
      <w:spacing w:val="10"/>
      <w:sz w:val="21"/>
      <w:szCs w:val="24"/>
      <w:lang w:val="en-US" w:eastAsia="en-US"/>
    </w:rPr>
  </w:style>
  <w:style w:type="character" w:customStyle="1" w:styleId="456">
    <w:name w:val="批注文字 Char Char"/>
    <w:qFormat/>
    <w:uiPriority w:val="0"/>
    <w:rPr>
      <w:rFonts w:ascii="宋体" w:hAnsi="Times New Roman" w:eastAsia="宋体" w:cs="Times New Roman"/>
      <w:sz w:val="28"/>
      <w:szCs w:val="20"/>
    </w:rPr>
  </w:style>
  <w:style w:type="character" w:customStyle="1" w:styleId="457">
    <w:name w:val="IRMS (F) Char21"/>
    <w:qFormat/>
    <w:uiPriority w:val="0"/>
    <w:rPr>
      <w:sz w:val="18"/>
    </w:rPr>
  </w:style>
  <w:style w:type="character" w:customStyle="1" w:styleId="458">
    <w:name w:val="标题 Char Char"/>
    <w:qFormat/>
    <w:uiPriority w:val="0"/>
    <w:rPr>
      <w:rFonts w:hint="default" w:ascii="Cambria" w:hAnsi="Cambria" w:eastAsia="宋体" w:cs="Cambria"/>
      <w:b/>
      <w:sz w:val="32"/>
      <w:szCs w:val="32"/>
    </w:rPr>
  </w:style>
  <w:style w:type="character" w:customStyle="1" w:styleId="459">
    <w:name w:val="Char Char26"/>
    <w:qFormat/>
    <w:uiPriority w:val="0"/>
    <w:rPr>
      <w:rFonts w:hint="default" w:ascii="Cambria" w:hAnsi="Cambria" w:eastAsia="宋体" w:cs="Cambria"/>
      <w:b/>
      <w:sz w:val="32"/>
    </w:rPr>
  </w:style>
  <w:style w:type="character" w:customStyle="1" w:styleId="460">
    <w:name w:val="Char Char17"/>
    <w:qFormat/>
    <w:uiPriority w:val="0"/>
    <w:rPr>
      <w:rFonts w:hint="default" w:ascii="Cambria" w:hAnsi="Cambria" w:eastAsia="宋体" w:cs="Cambria"/>
      <w:sz w:val="24"/>
    </w:rPr>
  </w:style>
  <w:style w:type="character" w:customStyle="1" w:styleId="461">
    <w:name w:val="Comment Text Char"/>
    <w:qFormat/>
    <w:uiPriority w:val="0"/>
    <w:rPr>
      <w:rFonts w:cs="Times New Roman"/>
      <w:sz w:val="24"/>
      <w:szCs w:val="24"/>
    </w:rPr>
  </w:style>
  <w:style w:type="character" w:customStyle="1" w:styleId="462">
    <w:name w:val="Char Char13"/>
    <w:qFormat/>
    <w:uiPriority w:val="0"/>
    <w:rPr>
      <w:szCs w:val="24"/>
    </w:rPr>
  </w:style>
  <w:style w:type="character" w:customStyle="1" w:styleId="463">
    <w:name w:val="Footer Char"/>
    <w:qFormat/>
    <w:uiPriority w:val="0"/>
    <w:rPr>
      <w:rFonts w:eastAsia="宋体"/>
      <w:sz w:val="18"/>
      <w:szCs w:val="18"/>
      <w:lang w:val="en-US" w:eastAsia="zh-CN" w:bidi="ar-SA"/>
    </w:rPr>
  </w:style>
  <w:style w:type="character" w:customStyle="1" w:styleId="464">
    <w:name w:val="页脚 Char Char"/>
    <w:qFormat/>
    <w:uiPriority w:val="0"/>
    <w:rPr>
      <w:rFonts w:hint="eastAsia" w:ascii="宋体" w:hAnsi="宋体" w:eastAsia="宋体" w:cs="宋体"/>
      <w:sz w:val="18"/>
      <w:szCs w:val="18"/>
      <w:lang w:val="en-US" w:eastAsia="zh-CN"/>
    </w:rPr>
  </w:style>
  <w:style w:type="character" w:customStyle="1" w:styleId="465">
    <w:name w:val="Char Char9"/>
    <w:qFormat/>
    <w:uiPriority w:val="0"/>
    <w:rPr>
      <w:rFonts w:eastAsia="宋体"/>
      <w:b/>
      <w:bCs/>
      <w:sz w:val="32"/>
      <w:szCs w:val="44"/>
      <w:lang w:val="en-US" w:eastAsia="zh-CN" w:bidi="ar-SA"/>
    </w:rPr>
  </w:style>
  <w:style w:type="character" w:customStyle="1" w:styleId="466">
    <w:name w:val="不明显参考11"/>
    <w:qFormat/>
    <w:uiPriority w:val="0"/>
    <w:rPr>
      <w:smallCaps/>
      <w:color w:val="C0504D"/>
      <w:u w:val="single"/>
    </w:rPr>
  </w:style>
  <w:style w:type="character" w:customStyle="1" w:styleId="467">
    <w:name w:val="明显参考11"/>
    <w:qFormat/>
    <w:uiPriority w:val="0"/>
    <w:rPr>
      <w:b/>
      <w:smallCaps/>
      <w:color w:val="C0504D"/>
      <w:spacing w:val="5"/>
      <w:u w:val="single"/>
    </w:rPr>
  </w:style>
  <w:style w:type="character" w:customStyle="1" w:styleId="468">
    <w:name w:val="批注主题 Char1"/>
    <w:qFormat/>
    <w:uiPriority w:val="0"/>
    <w:rPr>
      <w:rFonts w:ascii="Times New Roman" w:hAnsi="Times New Roman" w:eastAsia="宋体" w:cs="Times New Roman"/>
      <w:b/>
      <w:bCs/>
      <w:szCs w:val="24"/>
    </w:rPr>
  </w:style>
  <w:style w:type="character" w:customStyle="1" w:styleId="469">
    <w:name w:val="Char Char81"/>
    <w:qFormat/>
    <w:uiPriority w:val="0"/>
    <w:rPr>
      <w:rFonts w:hint="default" w:ascii="Arial" w:hAnsi="Arial" w:eastAsia="黑体" w:cs="Times New Roman"/>
      <w:b/>
      <w:sz w:val="32"/>
      <w:szCs w:val="32"/>
      <w:lang w:val="en-US" w:eastAsia="zh-CN"/>
    </w:rPr>
  </w:style>
  <w:style w:type="character" w:customStyle="1" w:styleId="470">
    <w:name w:val="Char Char221"/>
    <w:qFormat/>
    <w:uiPriority w:val="0"/>
    <w:rPr>
      <w:sz w:val="21"/>
    </w:rPr>
  </w:style>
  <w:style w:type="character" w:customStyle="1" w:styleId="471">
    <w:name w:val="Para head"/>
    <w:qFormat/>
    <w:uiPriority w:val="0"/>
    <w:rPr>
      <w:rFonts w:hint="default" w:ascii="Arial" w:hAnsi="Arial" w:eastAsia="Times New Roman" w:cs="Arial"/>
      <w:sz w:val="20"/>
    </w:rPr>
  </w:style>
  <w:style w:type="character" w:customStyle="1" w:styleId="472">
    <w:name w:val="批注文字 Char2"/>
    <w:qFormat/>
    <w:uiPriority w:val="0"/>
    <w:rPr>
      <w:rFonts w:eastAsia="宋体"/>
      <w:sz w:val="21"/>
      <w:szCs w:val="24"/>
      <w:lang w:val="en-US" w:eastAsia="zh-CN" w:bidi="ar-SA"/>
    </w:rPr>
  </w:style>
  <w:style w:type="character" w:customStyle="1" w:styleId="473">
    <w:name w:val="明显强调11"/>
    <w:qFormat/>
    <w:uiPriority w:val="0"/>
    <w:rPr>
      <w:b/>
      <w:i/>
      <w:color w:val="4F81BD"/>
    </w:rPr>
  </w:style>
  <w:style w:type="character" w:customStyle="1" w:styleId="474">
    <w:name w:val="纯文本 Char Char Char"/>
    <w:qFormat/>
    <w:uiPriority w:val="0"/>
    <w:rPr>
      <w:rFonts w:hint="eastAsia" w:ascii="宋体" w:hAnsi="Courier New" w:eastAsia="宋体" w:cs="宋体"/>
      <w:sz w:val="21"/>
      <w:szCs w:val="21"/>
      <w:lang w:val="en-US" w:eastAsia="zh-CN"/>
    </w:rPr>
  </w:style>
  <w:style w:type="character" w:customStyle="1" w:styleId="475">
    <w:name w:val="明显强调2"/>
    <w:qFormat/>
    <w:uiPriority w:val="0"/>
    <w:rPr>
      <w:b/>
      <w:bCs/>
      <w:i/>
      <w:iCs/>
      <w:color w:val="4F81BD"/>
    </w:rPr>
  </w:style>
  <w:style w:type="character" w:customStyle="1" w:styleId="476">
    <w:name w:val="msosubtlereference"/>
    <w:qFormat/>
    <w:uiPriority w:val="0"/>
    <w:rPr>
      <w:smallCaps/>
      <w:color w:val="C0504D"/>
      <w:u w:val="single"/>
    </w:rPr>
  </w:style>
  <w:style w:type="character" w:customStyle="1" w:styleId="477">
    <w:name w:val="Heading 5 Char"/>
    <w:qFormat/>
    <w:uiPriority w:val="0"/>
    <w:rPr>
      <w:rFonts w:eastAsia="宋体"/>
      <w:b/>
      <w:bCs/>
      <w:sz w:val="28"/>
      <w:szCs w:val="28"/>
      <w:lang w:val="en-US" w:eastAsia="zh-CN" w:bidi="ar-SA"/>
    </w:rPr>
  </w:style>
  <w:style w:type="character" w:customStyle="1" w:styleId="478">
    <w:name w:val="批注主题 Char3"/>
    <w:qFormat/>
    <w:uiPriority w:val="0"/>
    <w:rPr>
      <w:b/>
      <w:sz w:val="21"/>
      <w:szCs w:val="24"/>
    </w:rPr>
  </w:style>
  <w:style w:type="character" w:customStyle="1" w:styleId="479">
    <w:name w:val="明显引用 Char Char"/>
    <w:qFormat/>
    <w:uiPriority w:val="0"/>
    <w:rPr>
      <w:rFonts w:hint="eastAsia" w:ascii="宋体" w:hAnsi="宋体" w:eastAsia="宋体" w:cs="宋体"/>
      <w:b/>
      <w:i/>
      <w:color w:val="4F81BD"/>
      <w:sz w:val="21"/>
      <w:szCs w:val="24"/>
    </w:rPr>
  </w:style>
  <w:style w:type="character" w:customStyle="1" w:styleId="480">
    <w:name w:val="纯文本 Char21"/>
    <w:qFormat/>
    <w:uiPriority w:val="0"/>
    <w:rPr>
      <w:rFonts w:hint="eastAsia" w:ascii="宋体" w:hAnsi="Courier New" w:eastAsia="宋体" w:cs="宋体"/>
      <w:sz w:val="21"/>
    </w:rPr>
  </w:style>
  <w:style w:type="character" w:customStyle="1" w:styleId="481">
    <w:name w:val="Char Char27"/>
    <w:qFormat/>
    <w:uiPriority w:val="0"/>
    <w:rPr>
      <w:b/>
      <w:sz w:val="44"/>
    </w:rPr>
  </w:style>
  <w:style w:type="character" w:customStyle="1" w:styleId="482">
    <w:name w:val="正文首行缩进 2 Char1"/>
    <w:basedOn w:val="287"/>
    <w:link w:val="50"/>
    <w:qFormat/>
    <w:uiPriority w:val="0"/>
    <w:rPr>
      <w:rFonts w:ascii="Times New Roman" w:hAnsi="Times New Roman" w:eastAsia="宋体" w:cs="Times New Roman"/>
      <w:sz w:val="32"/>
      <w:szCs w:val="24"/>
    </w:rPr>
  </w:style>
  <w:style w:type="character" w:customStyle="1" w:styleId="483">
    <w:name w:val="bigfont"/>
    <w:qFormat/>
    <w:uiPriority w:val="0"/>
    <w:rPr>
      <w:rFonts w:hint="default" w:ascii="Times New Roman" w:hAnsi="Times New Roman" w:cs="Times New Roman"/>
    </w:rPr>
  </w:style>
  <w:style w:type="character" w:customStyle="1" w:styleId="484">
    <w:name w:val="Plain Text Char"/>
    <w:qFormat/>
    <w:uiPriority w:val="0"/>
    <w:rPr>
      <w:rFonts w:ascii="宋体" w:hAnsi="Courier New" w:eastAsia="宋体"/>
      <w:sz w:val="24"/>
      <w:lang w:bidi="ar-SA"/>
    </w:rPr>
  </w:style>
  <w:style w:type="paragraph" w:customStyle="1" w:styleId="48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486">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sz w:val="21"/>
    </w:rPr>
  </w:style>
  <w:style w:type="paragraph" w:customStyle="1" w:styleId="487">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88">
    <w:name w:val="正文缩进_0"/>
    <w:basedOn w:val="489"/>
    <w:qFormat/>
    <w:uiPriority w:val="0"/>
    <w:pPr>
      <w:widowControl w:val="0"/>
      <w:ind w:firstLine="420"/>
      <w:jc w:val="both"/>
    </w:pPr>
    <w:rPr>
      <w:u w:val="single"/>
    </w:rPr>
  </w:style>
  <w:style w:type="paragraph" w:customStyle="1" w:styleId="489">
    <w:name w:val="正文_1"/>
    <w:qFormat/>
    <w:uiPriority w:val="0"/>
    <w:rPr>
      <w:rFonts w:ascii="Times New Roman" w:hAnsi="Times New Roman" w:eastAsia="宋体" w:cs="Times New Roman"/>
      <w:sz w:val="21"/>
      <w:szCs w:val="22"/>
      <w:lang w:val="en-US" w:eastAsia="zh-CN" w:bidi="ar-SA"/>
    </w:rPr>
  </w:style>
  <w:style w:type="paragraph" w:customStyle="1" w:styleId="490">
    <w:name w:val="TOC 标题_0"/>
    <w:basedOn w:val="491"/>
    <w:next w:val="485"/>
    <w:qFormat/>
    <w:uiPriority w:val="0"/>
    <w:pPr>
      <w:outlineLvl w:val="9"/>
    </w:pPr>
    <w:rPr>
      <w:rFonts w:ascii="Calibri" w:hAnsi="Calibri"/>
    </w:rPr>
  </w:style>
  <w:style w:type="paragraph" w:customStyle="1" w:styleId="491">
    <w:name w:val="标题 1_0"/>
    <w:basedOn w:val="485"/>
    <w:next w:val="485"/>
    <w:qFormat/>
    <w:uiPriority w:val="0"/>
    <w:pPr>
      <w:keepNext/>
      <w:keepLines/>
      <w:spacing w:before="340" w:after="330" w:line="576" w:lineRule="auto"/>
      <w:outlineLvl w:val="0"/>
    </w:pPr>
    <w:rPr>
      <w:rFonts w:ascii="Times New Roman" w:hAnsi="Times New Roman"/>
      <w:b/>
      <w:bCs/>
      <w:sz w:val="44"/>
      <w:szCs w:val="44"/>
    </w:rPr>
  </w:style>
  <w:style w:type="paragraph" w:customStyle="1" w:styleId="492">
    <w:name w:val="2-2ji"/>
    <w:basedOn w:val="3"/>
    <w:qFormat/>
    <w:uiPriority w:val="0"/>
    <w:pPr>
      <w:spacing w:before="0" w:after="0" w:line="360" w:lineRule="auto"/>
    </w:pPr>
    <w:rPr>
      <w:rFonts w:ascii="宋体" w:hAnsi="宋体" w:eastAsia="宋体"/>
      <w:bCs/>
      <w:sz w:val="36"/>
      <w:szCs w:val="24"/>
    </w:rPr>
  </w:style>
  <w:style w:type="paragraph" w:customStyle="1" w:styleId="493">
    <w:name w:val="_Style 37"/>
    <w:basedOn w:val="1"/>
    <w:next w:val="1"/>
    <w:qFormat/>
    <w:uiPriority w:val="0"/>
    <w:rPr>
      <w:rFonts w:ascii="Times New Roman" w:hAnsi="Times New Roman" w:eastAsia="宋体" w:cs="Times New Roman"/>
      <w:szCs w:val="24"/>
    </w:rPr>
  </w:style>
  <w:style w:type="paragraph" w:customStyle="1" w:styleId="494">
    <w:name w:val="TOC 标题1"/>
    <w:basedOn w:val="2"/>
    <w:next w:val="1"/>
    <w:qFormat/>
    <w:uiPriority w:val="0"/>
    <w:pPr>
      <w:keepLines/>
      <w:spacing w:before="340" w:after="330" w:line="576" w:lineRule="auto"/>
      <w:outlineLvl w:val="9"/>
    </w:pPr>
    <w:rPr>
      <w:rFonts w:ascii="Calibri" w:eastAsia="黑体"/>
      <w:b/>
      <w:bCs/>
      <w:sz w:val="44"/>
      <w:szCs w:val="44"/>
    </w:rPr>
  </w:style>
  <w:style w:type="paragraph" w:customStyle="1" w:styleId="495">
    <w:name w:val="修订1"/>
    <w:qFormat/>
    <w:uiPriority w:val="0"/>
    <w:rPr>
      <w:rFonts w:ascii="Times New Roman" w:hAnsi="Times New Roman" w:eastAsia="宋体" w:cs="Times New Roman"/>
      <w:sz w:val="21"/>
      <w:szCs w:val="24"/>
      <w:lang w:val="en-US" w:eastAsia="zh-CN" w:bidi="ar-SA"/>
    </w:rPr>
  </w:style>
  <w:style w:type="paragraph" w:customStyle="1" w:styleId="496">
    <w:name w:val="正文文本_0"/>
    <w:basedOn w:val="485"/>
    <w:qFormat/>
    <w:uiPriority w:val="0"/>
    <w:pPr>
      <w:spacing w:after="60" w:line="360" w:lineRule="atLeast"/>
      <w:ind w:left="72" w:right="30"/>
      <w:jc w:val="center"/>
    </w:pPr>
    <w:rPr>
      <w:rFonts w:ascii="Times New Roman" w:hAnsi="Times New Roman"/>
      <w:sz w:val="20"/>
      <w:szCs w:val="20"/>
    </w:rPr>
  </w:style>
  <w:style w:type="paragraph" w:customStyle="1" w:styleId="497">
    <w:name w:val="1"/>
    <w:basedOn w:val="1"/>
    <w:next w:val="1"/>
    <w:qFormat/>
    <w:uiPriority w:val="0"/>
    <w:rPr>
      <w:rFonts w:ascii="Times New Roman" w:hAnsi="Times New Roman" w:eastAsia="宋体" w:cs="Times New Roman"/>
      <w:szCs w:val="24"/>
    </w:rPr>
  </w:style>
  <w:style w:type="paragraph" w:customStyle="1" w:styleId="498">
    <w:name w:val="标题 4_0"/>
    <w:basedOn w:val="485"/>
    <w:next w:val="485"/>
    <w:qFormat/>
    <w:uiPriority w:val="0"/>
    <w:pPr>
      <w:keepNext/>
      <w:keepLines/>
      <w:spacing w:before="280" w:after="290" w:line="372" w:lineRule="auto"/>
      <w:outlineLvl w:val="3"/>
    </w:pPr>
    <w:rPr>
      <w:rFonts w:ascii="Cambria" w:hAnsi="Cambria"/>
      <w:b/>
      <w:bCs/>
      <w:sz w:val="28"/>
      <w:szCs w:val="28"/>
    </w:rPr>
  </w:style>
  <w:style w:type="paragraph" w:customStyle="1" w:styleId="499">
    <w:name w:val="标题 3_0"/>
    <w:basedOn w:val="485"/>
    <w:next w:val="485"/>
    <w:qFormat/>
    <w:uiPriority w:val="0"/>
    <w:pPr>
      <w:keepNext/>
      <w:keepLines/>
      <w:spacing w:before="260" w:after="260" w:line="413" w:lineRule="auto"/>
      <w:outlineLvl w:val="2"/>
    </w:pPr>
    <w:rPr>
      <w:rFonts w:ascii="Times New Roman" w:hAnsi="Times New Roman"/>
      <w:b/>
      <w:bCs/>
      <w:sz w:val="32"/>
      <w:szCs w:val="32"/>
    </w:rPr>
  </w:style>
  <w:style w:type="paragraph" w:customStyle="1" w:styleId="500">
    <w:name w:val="样式1"/>
    <w:basedOn w:val="1"/>
    <w:next w:val="6"/>
    <w:qFormat/>
    <w:uiPriority w:val="0"/>
    <w:pPr>
      <w:spacing w:line="360" w:lineRule="auto"/>
      <w:ind w:firstLine="420"/>
    </w:pPr>
    <w:rPr>
      <w:rFonts w:ascii="宋体" w:hAnsi="宋体" w:eastAsia="宋体" w:cs="Times New Roman"/>
      <w:szCs w:val="21"/>
    </w:rPr>
  </w:style>
  <w:style w:type="paragraph" w:customStyle="1" w:styleId="501">
    <w:name w:val="p0"/>
    <w:basedOn w:val="1"/>
    <w:qFormat/>
    <w:uiPriority w:val="0"/>
    <w:pPr>
      <w:widowControl/>
    </w:pPr>
    <w:rPr>
      <w:rFonts w:ascii="Calibri" w:hAnsi="Calibri" w:eastAsia="宋体" w:cs="宋体"/>
      <w:szCs w:val="21"/>
    </w:rPr>
  </w:style>
  <w:style w:type="paragraph" w:customStyle="1" w:styleId="502">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503">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5">
    <w:name w:val="标题_0"/>
    <w:basedOn w:val="489"/>
    <w:qFormat/>
    <w:uiPriority w:val="0"/>
    <w:pPr>
      <w:spacing w:before="120" w:after="120" w:line="360" w:lineRule="auto"/>
      <w:jc w:val="center"/>
      <w:outlineLvl w:val="0"/>
    </w:pPr>
    <w:rPr>
      <w:rFonts w:ascii="黑体" w:hAnsi="Arial" w:eastAsia="黑体"/>
      <w:b/>
      <w:bCs/>
      <w:sz w:val="32"/>
      <w:szCs w:val="32"/>
    </w:rPr>
  </w:style>
  <w:style w:type="paragraph" w:customStyle="1" w:styleId="506">
    <w:name w:val="Char11"/>
    <w:basedOn w:val="1"/>
    <w:qFormat/>
    <w:uiPriority w:val="0"/>
    <w:rPr>
      <w:rFonts w:ascii="Times New Roman" w:hAnsi="Times New Roman" w:eastAsia="宋体" w:cs="Times New Roman"/>
      <w:szCs w:val="21"/>
    </w:rPr>
  </w:style>
  <w:style w:type="character" w:customStyle="1" w:styleId="507">
    <w:name w:val="Char Char28"/>
    <w:link w:val="508"/>
    <w:qFormat/>
    <w:uiPriority w:val="0"/>
    <w:rPr>
      <w:szCs w:val="24"/>
    </w:rPr>
  </w:style>
  <w:style w:type="paragraph" w:customStyle="1" w:styleId="508">
    <w:name w:val="Char4"/>
    <w:basedOn w:val="1"/>
    <w:link w:val="507"/>
    <w:qFormat/>
    <w:uiPriority w:val="0"/>
    <w:rPr>
      <w:szCs w:val="24"/>
    </w:rPr>
  </w:style>
  <w:style w:type="character" w:customStyle="1" w:styleId="509">
    <w:name w:val="Char Char110"/>
    <w:qFormat/>
    <w:uiPriority w:val="0"/>
    <w:rPr>
      <w:rFonts w:ascii="宋体" w:hAnsi="Courier New" w:eastAsia="宋体"/>
      <w:sz w:val="21"/>
      <w:szCs w:val="21"/>
      <w:lang w:val="en-US" w:eastAsia="zh-CN" w:bidi="ar-SA"/>
    </w:rPr>
  </w:style>
  <w:style w:type="paragraph" w:customStyle="1" w:styleId="510">
    <w:name w:val="Char Char1 Char Char Char"/>
    <w:basedOn w:val="1"/>
    <w:qFormat/>
    <w:uiPriority w:val="0"/>
    <w:rPr>
      <w:rFonts w:ascii="Times New Roman" w:hAnsi="Times New Roman" w:eastAsia="宋体" w:cs="Times New Roman"/>
      <w:szCs w:val="24"/>
    </w:rPr>
  </w:style>
  <w:style w:type="paragraph" w:customStyle="1" w:styleId="511">
    <w:name w:val="Char Char1 Char"/>
    <w:basedOn w:val="1"/>
    <w:qFormat/>
    <w:uiPriority w:val="0"/>
    <w:rPr>
      <w:rFonts w:ascii="Tahoma" w:hAnsi="Tahoma" w:eastAsia="宋体" w:cs="Times New Roman"/>
      <w:sz w:val="24"/>
      <w:szCs w:val="20"/>
    </w:rPr>
  </w:style>
  <w:style w:type="paragraph" w:customStyle="1" w:styleId="512">
    <w:name w:val="Char Char5 Char"/>
    <w:basedOn w:val="1"/>
    <w:qFormat/>
    <w:uiPriority w:val="0"/>
    <w:rPr>
      <w:rFonts w:ascii="Times New Roman" w:hAnsi="Times New Roman" w:eastAsia="宋体" w:cs="Times New Roman"/>
      <w:szCs w:val="20"/>
    </w:rPr>
  </w:style>
  <w:style w:type="paragraph" w:customStyle="1" w:styleId="513">
    <w:name w:val="Blockquote"/>
    <w:basedOn w:val="1"/>
    <w:qFormat/>
    <w:uiPriority w:val="0"/>
    <w:pPr>
      <w:spacing w:before="100" w:after="100"/>
      <w:ind w:left="360" w:right="360"/>
      <w:jc w:val="left"/>
    </w:pPr>
    <w:rPr>
      <w:rFonts w:ascii="Times New Roman" w:hAnsi="Times New Roman" w:eastAsia="宋体" w:cs="Times New Roman"/>
      <w:sz w:val="24"/>
      <w:szCs w:val="20"/>
    </w:rPr>
  </w:style>
  <w:style w:type="paragraph" w:customStyle="1" w:styleId="514">
    <w:name w:val="cha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15">
    <w:name w:val="Address"/>
    <w:basedOn w:val="1"/>
    <w:next w:val="1"/>
    <w:qFormat/>
    <w:uiPriority w:val="0"/>
    <w:pPr>
      <w:jc w:val="left"/>
    </w:pPr>
    <w:rPr>
      <w:rFonts w:ascii="Times New Roman" w:hAnsi="Times New Roman" w:eastAsia="宋体" w:cs="Times New Roman"/>
      <w:i/>
      <w:sz w:val="24"/>
      <w:szCs w:val="20"/>
    </w:rPr>
  </w:style>
  <w:style w:type="paragraph" w:customStyle="1" w:styleId="516">
    <w:name w:val="font0"/>
    <w:basedOn w:val="1"/>
    <w:qFormat/>
    <w:uiPriority w:val="0"/>
    <w:pPr>
      <w:widowControl/>
      <w:spacing w:before="100" w:beforeAutospacing="1" w:after="100" w:afterAutospacing="1"/>
      <w:jc w:val="left"/>
    </w:pPr>
    <w:rPr>
      <w:rFonts w:ascii="Arial" w:hAnsi="Arial" w:eastAsia="宋体" w:cs="Arial"/>
      <w:sz w:val="20"/>
      <w:szCs w:val="20"/>
    </w:rPr>
  </w:style>
  <w:style w:type="paragraph" w:customStyle="1" w:styleId="517">
    <w:name w:val="font5"/>
    <w:basedOn w:val="1"/>
    <w:qFormat/>
    <w:uiPriority w:val="0"/>
    <w:pPr>
      <w:widowControl/>
      <w:spacing w:before="100" w:beforeAutospacing="1" w:after="100" w:afterAutospacing="1"/>
      <w:jc w:val="left"/>
    </w:pPr>
    <w:rPr>
      <w:rFonts w:ascii="宋体" w:hAnsi="宋体" w:eastAsia="宋体" w:cs="Arial Unicode MS"/>
      <w:sz w:val="20"/>
      <w:szCs w:val="20"/>
    </w:rPr>
  </w:style>
  <w:style w:type="paragraph" w:customStyle="1" w:styleId="518">
    <w:name w:val="font6"/>
    <w:basedOn w:val="1"/>
    <w:qFormat/>
    <w:uiPriority w:val="0"/>
    <w:pPr>
      <w:widowControl/>
      <w:spacing w:before="100" w:beforeAutospacing="1" w:after="100" w:afterAutospacing="1"/>
      <w:jc w:val="left"/>
    </w:pPr>
    <w:rPr>
      <w:rFonts w:ascii="宋体" w:hAnsi="宋体" w:eastAsia="宋体" w:cs="Arial Unicode MS"/>
      <w:sz w:val="18"/>
      <w:szCs w:val="18"/>
    </w:rPr>
  </w:style>
  <w:style w:type="paragraph" w:customStyle="1" w:styleId="519">
    <w:name w:val="font7"/>
    <w:basedOn w:val="1"/>
    <w:qFormat/>
    <w:uiPriority w:val="0"/>
    <w:pPr>
      <w:widowControl/>
      <w:spacing w:before="100" w:beforeAutospacing="1" w:after="100" w:afterAutospacing="1"/>
      <w:jc w:val="left"/>
    </w:pPr>
    <w:rPr>
      <w:rFonts w:ascii="Times New Roman" w:hAnsi="Times New Roman" w:eastAsia="宋体" w:cs="Times New Roman"/>
      <w:sz w:val="20"/>
      <w:szCs w:val="20"/>
    </w:rPr>
  </w:style>
  <w:style w:type="paragraph" w:customStyle="1" w:styleId="520">
    <w:name w:val="font8"/>
    <w:basedOn w:val="1"/>
    <w:qFormat/>
    <w:uiPriority w:val="0"/>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Arial Unicode MS"/>
      <w:sz w:val="24"/>
      <w:szCs w:val="24"/>
    </w:rPr>
  </w:style>
  <w:style w:type="paragraph" w:customStyle="1" w:styleId="52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Arial Unicode MS"/>
      <w:sz w:val="24"/>
      <w:szCs w:val="24"/>
    </w:rPr>
  </w:style>
  <w:style w:type="paragraph" w:customStyle="1" w:styleId="5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2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2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Arial Unicode MS"/>
      <w:b/>
      <w:bCs/>
      <w:sz w:val="24"/>
      <w:szCs w:val="24"/>
    </w:rPr>
  </w:style>
  <w:style w:type="paragraph" w:customStyle="1" w:styleId="526">
    <w:name w:val="xl30"/>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527">
    <w:name w:val="xl31"/>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528">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Times New Roman" w:hAnsi="Times New Roman" w:eastAsia="宋体" w:cs="Times New Roman"/>
      <w:sz w:val="24"/>
      <w:szCs w:val="24"/>
    </w:rPr>
  </w:style>
  <w:style w:type="paragraph" w:customStyle="1" w:styleId="52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30">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3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宋体" w:cs="Arial Unicode MS"/>
      <w:sz w:val="24"/>
      <w:szCs w:val="24"/>
    </w:rPr>
  </w:style>
  <w:style w:type="paragraph" w:customStyle="1" w:styleId="53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4"/>
      <w:szCs w:val="24"/>
    </w:rPr>
  </w:style>
  <w:style w:type="paragraph" w:customStyle="1" w:styleId="534">
    <w:name w:val="xl38"/>
    <w:basedOn w:val="1"/>
    <w:qFormat/>
    <w:uiPriority w:val="0"/>
    <w:pPr>
      <w:widowControl/>
      <w:spacing w:before="100" w:beforeAutospacing="1" w:after="100" w:afterAutospacing="1"/>
      <w:jc w:val="center"/>
    </w:pPr>
    <w:rPr>
      <w:rFonts w:ascii="Arial Unicode MS" w:hAnsi="Arial Unicode MS" w:eastAsia="宋体" w:cs="Arial Unicode MS"/>
      <w:sz w:val="24"/>
      <w:szCs w:val="24"/>
    </w:rPr>
  </w:style>
  <w:style w:type="paragraph" w:customStyle="1" w:styleId="53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sz w:val="24"/>
      <w:szCs w:val="24"/>
    </w:rPr>
  </w:style>
  <w:style w:type="paragraph" w:customStyle="1" w:styleId="53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sz w:val="24"/>
      <w:szCs w:val="24"/>
    </w:rPr>
  </w:style>
  <w:style w:type="paragraph" w:customStyle="1" w:styleId="539">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Times New Roman" w:hAnsi="Times New Roman" w:eastAsia="宋体" w:cs="Times New Roman"/>
      <w:sz w:val="24"/>
      <w:szCs w:val="24"/>
    </w:rPr>
  </w:style>
  <w:style w:type="paragraph" w:customStyle="1" w:styleId="540">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Times New Roman" w:hAnsi="Times New Roman" w:eastAsia="宋体" w:cs="Times New Roman"/>
      <w:sz w:val="24"/>
      <w:szCs w:val="24"/>
    </w:rPr>
  </w:style>
  <w:style w:type="paragraph" w:customStyle="1" w:styleId="541">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42">
    <w:name w:val="Char2"/>
    <w:basedOn w:val="1"/>
    <w:qFormat/>
    <w:uiPriority w:val="0"/>
    <w:rPr>
      <w:rFonts w:ascii="Times New Roman" w:hAnsi="Times New Roman" w:eastAsia="宋体" w:cs="Times New Roman"/>
      <w:szCs w:val="24"/>
    </w:rPr>
  </w:style>
  <w:style w:type="paragraph" w:customStyle="1" w:styleId="543">
    <w:name w:val="Char14 Char Char Char"/>
    <w:basedOn w:val="1"/>
    <w:qFormat/>
    <w:uiPriority w:val="0"/>
    <w:rPr>
      <w:rFonts w:ascii="Times New Roman" w:hAnsi="Times New Roman" w:eastAsia="宋体" w:cs="Times New Roman"/>
      <w:szCs w:val="20"/>
    </w:rPr>
  </w:style>
  <w:style w:type="character" w:customStyle="1" w:styleId="544">
    <w:name w:val="Char Char271"/>
    <w:qFormat/>
    <w:uiPriority w:val="0"/>
    <w:rPr>
      <w:rFonts w:ascii="宋体" w:hAnsi="宋体" w:eastAsia="宋体"/>
      <w:b/>
      <w:sz w:val="48"/>
      <w:lang w:val="en-US" w:eastAsia="zh-CN" w:bidi="ar-SA"/>
    </w:rPr>
  </w:style>
  <w:style w:type="character" w:customStyle="1" w:styleId="545">
    <w:name w:val="Char Char251"/>
    <w:qFormat/>
    <w:uiPriority w:val="0"/>
    <w:rPr>
      <w:rFonts w:eastAsia="宋体"/>
      <w:b/>
      <w:sz w:val="32"/>
      <w:lang w:val="en-US" w:eastAsia="zh-CN" w:bidi="ar-SA"/>
    </w:rPr>
  </w:style>
  <w:style w:type="paragraph" w:customStyle="1" w:styleId="546">
    <w:name w:val="_Style 27"/>
    <w:basedOn w:val="1"/>
    <w:qFormat/>
    <w:uiPriority w:val="0"/>
    <w:rPr>
      <w:rFonts w:ascii="Times New Roman" w:hAnsi="Times New Roman" w:eastAsia="宋体" w:cs="Times New Roman"/>
      <w:szCs w:val="21"/>
    </w:rPr>
  </w:style>
  <w:style w:type="paragraph" w:customStyle="1" w:styleId="547">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548">
    <w:name w:val="样式2"/>
    <w:basedOn w:val="6"/>
    <w:qFormat/>
    <w:uiPriority w:val="0"/>
    <w:pPr>
      <w:keepNext w:val="0"/>
      <w:keepLines w:val="0"/>
      <w:tabs>
        <w:tab w:val="left" w:pos="0"/>
        <w:tab w:val="left" w:pos="2340"/>
      </w:tabs>
      <w:spacing w:before="0" w:after="0" w:line="360" w:lineRule="auto"/>
      <w:ind w:firstLine="480"/>
      <w:jc w:val="center"/>
    </w:pPr>
    <w:rPr>
      <w:rFonts w:ascii="宋体" w:hAnsi="宋体"/>
      <w:b w:val="0"/>
      <w:bCs w:val="0"/>
      <w:color w:val="000000"/>
      <w:sz w:val="24"/>
      <w:szCs w:val="20"/>
    </w:rPr>
  </w:style>
  <w:style w:type="paragraph" w:customStyle="1" w:styleId="549">
    <w:name w:val="xl53"/>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50">
    <w:name w:val="Definition List"/>
    <w:basedOn w:val="1"/>
    <w:next w:val="1"/>
    <w:qFormat/>
    <w:uiPriority w:val="0"/>
    <w:pPr>
      <w:ind w:left="360"/>
      <w:jc w:val="left"/>
    </w:pPr>
    <w:rPr>
      <w:rFonts w:ascii="Times New Roman" w:hAnsi="Times New Roman" w:eastAsia="宋体" w:cs="Times New Roman"/>
      <w:sz w:val="24"/>
      <w:szCs w:val="20"/>
    </w:rPr>
  </w:style>
  <w:style w:type="paragraph" w:customStyle="1" w:styleId="551">
    <w:name w:val="p13"/>
    <w:basedOn w:val="1"/>
    <w:qFormat/>
    <w:uiPriority w:val="0"/>
    <w:pPr>
      <w:widowControl/>
      <w:spacing w:before="100" w:beforeAutospacing="1" w:after="100" w:afterAutospacing="1" w:line="312" w:lineRule="auto"/>
      <w:jc w:val="left"/>
    </w:pPr>
    <w:rPr>
      <w:rFonts w:ascii="宋体" w:hAnsi="宋体" w:eastAsia="宋体" w:cs="Times New Roman"/>
      <w:sz w:val="26"/>
      <w:szCs w:val="26"/>
    </w:rPr>
  </w:style>
  <w:style w:type="paragraph" w:customStyle="1" w:styleId="552">
    <w:name w:val="样式3"/>
    <w:basedOn w:val="1"/>
    <w:qFormat/>
    <w:uiPriority w:val="0"/>
    <w:pPr>
      <w:tabs>
        <w:tab w:val="left" w:pos="560"/>
        <w:tab w:val="left" w:pos="1120"/>
      </w:tabs>
      <w:spacing w:line="480" w:lineRule="atLeast"/>
    </w:pPr>
    <w:rPr>
      <w:rFonts w:ascii="Times New Roman" w:hAnsi="Times New Roman" w:eastAsia="创艺简黑体" w:cs="Times New Roman"/>
      <w:b/>
      <w:sz w:val="28"/>
      <w:szCs w:val="20"/>
    </w:rPr>
  </w:style>
  <w:style w:type="paragraph" w:customStyle="1" w:styleId="553">
    <w:name w:val="Char Char1 Char Char Char Char Char Char Char Char Char Char"/>
    <w:basedOn w:val="1"/>
    <w:qFormat/>
    <w:uiPriority w:val="0"/>
    <w:rPr>
      <w:rFonts w:ascii="Tahoma" w:hAnsi="Tahoma" w:eastAsia="宋体" w:cs="Times New Roman"/>
      <w:sz w:val="24"/>
      <w:szCs w:val="20"/>
    </w:rPr>
  </w:style>
  <w:style w:type="paragraph" w:customStyle="1" w:styleId="554">
    <w:name w:val="xl51"/>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55">
    <w:name w:val="默认段落字体 Para Char Char Char Char Char Char Char Char Char Char"/>
    <w:basedOn w:val="1"/>
    <w:qFormat/>
    <w:uiPriority w:val="0"/>
    <w:rPr>
      <w:rFonts w:ascii="Tahoma" w:hAnsi="Tahoma" w:eastAsia="宋体" w:cs="Times New Roman"/>
      <w:sz w:val="24"/>
      <w:szCs w:val="20"/>
    </w:rPr>
  </w:style>
  <w:style w:type="paragraph" w:customStyle="1" w:styleId="556">
    <w:name w:val="Char1 Char Char"/>
    <w:basedOn w:val="1"/>
    <w:qFormat/>
    <w:uiPriority w:val="0"/>
    <w:rPr>
      <w:rFonts w:ascii="Times New Roman" w:hAnsi="Times New Roman" w:eastAsia="宋体" w:cs="Times New Roman"/>
      <w:szCs w:val="21"/>
    </w:rPr>
  </w:style>
  <w:style w:type="paragraph" w:customStyle="1" w:styleId="557">
    <w:name w:val="Char Char Char Char1"/>
    <w:basedOn w:val="1"/>
    <w:qFormat/>
    <w:uiPriority w:val="0"/>
    <w:rPr>
      <w:rFonts w:ascii="Tahoma" w:hAnsi="Tahoma" w:eastAsia="宋体" w:cs="Times New Roman"/>
      <w:sz w:val="24"/>
      <w:szCs w:val="20"/>
    </w:rPr>
  </w:style>
  <w:style w:type="paragraph" w:customStyle="1" w:styleId="558">
    <w:name w:val="xl56"/>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b/>
      <w:sz w:val="24"/>
      <w:szCs w:val="20"/>
    </w:rPr>
  </w:style>
  <w:style w:type="paragraph" w:customStyle="1" w:styleId="559">
    <w:name w:val="Char Char Char1"/>
    <w:basedOn w:val="1"/>
    <w:qFormat/>
    <w:uiPriority w:val="0"/>
    <w:rPr>
      <w:rFonts w:ascii="Tahoma" w:hAnsi="Tahoma" w:eastAsia="宋体" w:cs="Times New Roman"/>
      <w:sz w:val="24"/>
      <w:szCs w:val="20"/>
    </w:rPr>
  </w:style>
  <w:style w:type="paragraph" w:customStyle="1" w:styleId="56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b/>
      <w:sz w:val="24"/>
      <w:szCs w:val="20"/>
    </w:rPr>
  </w:style>
  <w:style w:type="paragraph" w:customStyle="1" w:styleId="5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b/>
      <w:sz w:val="24"/>
      <w:szCs w:val="20"/>
    </w:rPr>
  </w:style>
  <w:style w:type="paragraph" w:customStyle="1" w:styleId="56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sz w:val="24"/>
      <w:szCs w:val="20"/>
    </w:rPr>
  </w:style>
  <w:style w:type="paragraph" w:customStyle="1" w:styleId="563">
    <w:name w:val="xl55"/>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b/>
      <w:sz w:val="24"/>
      <w:szCs w:val="20"/>
    </w:rPr>
  </w:style>
  <w:style w:type="paragraph" w:customStyle="1" w:styleId="564">
    <w:name w:val="xl57"/>
    <w:basedOn w:val="1"/>
    <w:qFormat/>
    <w:uiPriority w:val="0"/>
    <w:pPr>
      <w:widowControl/>
      <w:pBdr>
        <w:top w:val="single" w:color="auto" w:sz="4" w:space="0"/>
        <w:left w:val="single" w:color="auto" w:sz="4" w:space="0"/>
        <w:bottom w:val="single" w:color="auto" w:sz="12" w:space="0"/>
        <w:right w:val="single" w:color="auto" w:sz="12"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5">
    <w:name w:val="Char2 Char Char Char Char Char"/>
    <w:basedOn w:val="1"/>
    <w:qFormat/>
    <w:uiPriority w:val="0"/>
    <w:rPr>
      <w:rFonts w:ascii="Times New Roman" w:hAnsi="Times New Roman" w:eastAsia="宋体" w:cs="Times New Roman"/>
      <w:szCs w:val="21"/>
    </w:rPr>
  </w:style>
  <w:style w:type="paragraph" w:customStyle="1" w:styleId="566">
    <w:name w:val="xl52"/>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sz w:val="24"/>
      <w:szCs w:val="20"/>
    </w:rPr>
  </w:style>
  <w:style w:type="paragraph" w:customStyle="1" w:styleId="568">
    <w:name w:val="xl54"/>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9">
    <w:name w:val="Char1 Char Char Char Char Char"/>
    <w:basedOn w:val="1"/>
    <w:qFormat/>
    <w:uiPriority w:val="0"/>
    <w:rPr>
      <w:rFonts w:ascii="Times New Roman" w:hAnsi="Times New Roman" w:eastAsia="宋体" w:cs="Times New Roman"/>
      <w:szCs w:val="20"/>
    </w:rPr>
  </w:style>
  <w:style w:type="paragraph" w:customStyle="1" w:styleId="570">
    <w:name w:val="Char Char2 Char"/>
    <w:basedOn w:val="1"/>
    <w:qFormat/>
    <w:uiPriority w:val="0"/>
    <w:rPr>
      <w:rFonts w:ascii="Tahoma" w:hAnsi="Tahoma" w:eastAsia="宋体" w:cs="Times New Roman"/>
      <w:sz w:val="24"/>
      <w:szCs w:val="20"/>
    </w:rPr>
  </w:style>
  <w:style w:type="paragraph" w:customStyle="1" w:styleId="571">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572">
    <w:name w:val="Char Char Char Char Char Char Char1"/>
    <w:basedOn w:val="1"/>
    <w:qFormat/>
    <w:uiPriority w:val="0"/>
    <w:rPr>
      <w:rFonts w:ascii="Times New Roman" w:hAnsi="Times New Roman" w:eastAsia="宋体" w:cs="Times New Roman"/>
      <w:szCs w:val="21"/>
    </w:rPr>
  </w:style>
  <w:style w:type="character" w:customStyle="1" w:styleId="573">
    <w:name w:val="页脚 字符"/>
    <w:qFormat/>
    <w:uiPriority w:val="99"/>
  </w:style>
  <w:style w:type="paragraph" w:customStyle="1" w:styleId="574">
    <w:name w:val="段"/>
    <w:next w:val="1"/>
    <w:qFormat/>
    <w:uiPriority w:val="0"/>
    <w:pPr>
      <w:spacing w:line="360" w:lineRule="auto"/>
      <w:ind w:firstLine="200"/>
      <w:jc w:val="both"/>
    </w:pPr>
    <w:rPr>
      <w:rFonts w:ascii="宋体" w:hAnsi="Calibri" w:eastAsia="宋体" w:cs="Times New Roman"/>
      <w:sz w:val="24"/>
      <w:szCs w:val="22"/>
      <w:lang w:val="en-US" w:eastAsia="zh-CN" w:bidi="ar-SA"/>
    </w:rPr>
  </w:style>
  <w:style w:type="character" w:customStyle="1" w:styleId="575">
    <w:name w:val="fontstyle21"/>
    <w:basedOn w:val="53"/>
    <w:qFormat/>
    <w:uiPriority w:val="0"/>
    <w:rPr>
      <w:rFonts w:hint="default" w:ascii="Times New Roman" w:hAnsi="Times New Roman" w:cs="Times New Roman"/>
      <w:color w:val="000000"/>
      <w:sz w:val="18"/>
      <w:szCs w:val="18"/>
    </w:rPr>
  </w:style>
  <w:style w:type="character" w:customStyle="1" w:styleId="576">
    <w:name w:val="hover1"/>
    <w:basedOn w:val="53"/>
    <w:qFormat/>
    <w:uiPriority w:val="0"/>
    <w:rPr>
      <w:color w:val="5FB878"/>
    </w:rPr>
  </w:style>
  <w:style w:type="character" w:customStyle="1" w:styleId="577">
    <w:name w:val="hover2"/>
    <w:basedOn w:val="53"/>
    <w:qFormat/>
    <w:uiPriority w:val="0"/>
    <w:rPr>
      <w:color w:val="5FB878"/>
    </w:rPr>
  </w:style>
  <w:style w:type="character" w:customStyle="1" w:styleId="578">
    <w:name w:val="hover"/>
    <w:basedOn w:val="53"/>
    <w:qFormat/>
    <w:uiPriority w:val="0"/>
    <w:rPr>
      <w:color w:val="FFFFFF"/>
    </w:rPr>
  </w:style>
  <w:style w:type="character" w:customStyle="1" w:styleId="579">
    <w:name w:val="明显参考3"/>
    <w:qFormat/>
    <w:uiPriority w:val="0"/>
    <w:rPr>
      <w:b/>
      <w:bCs/>
      <w:smallCaps/>
      <w:color w:val="C0504D"/>
      <w:spacing w:val="5"/>
      <w:u w:val="single"/>
    </w:rPr>
  </w:style>
  <w:style w:type="character" w:customStyle="1" w:styleId="580">
    <w:name w:val="不明显参考2"/>
    <w:qFormat/>
    <w:uiPriority w:val="0"/>
    <w:rPr>
      <w:smallCaps/>
      <w:color w:val="C0504D"/>
      <w:u w:val="single"/>
    </w:rPr>
  </w:style>
  <w:style w:type="character" w:customStyle="1" w:styleId="581">
    <w:name w:val="书籍标题3"/>
    <w:qFormat/>
    <w:uiPriority w:val="0"/>
    <w:rPr>
      <w:b/>
      <w:bCs/>
      <w:smallCaps/>
      <w:spacing w:val="5"/>
    </w:rPr>
  </w:style>
  <w:style w:type="character" w:customStyle="1" w:styleId="582">
    <w:name w:val="bigfont1"/>
    <w:qFormat/>
    <w:uiPriority w:val="0"/>
    <w:rPr>
      <w:rFonts w:hint="default"/>
      <w:color w:val="000000"/>
      <w:sz w:val="24"/>
      <w:szCs w:val="24"/>
      <w:u w:val="none"/>
    </w:rPr>
  </w:style>
  <w:style w:type="character" w:customStyle="1" w:styleId="583">
    <w:name w:val="明显强调3"/>
    <w:qFormat/>
    <w:uiPriority w:val="0"/>
    <w:rPr>
      <w:b/>
      <w:bCs/>
      <w:i/>
      <w:iCs/>
      <w:color w:val="4F81BD"/>
    </w:rPr>
  </w:style>
  <w:style w:type="character" w:customStyle="1" w:styleId="584">
    <w:name w:val="HTML 预设格式 Char1"/>
    <w:semiHidden/>
    <w:qFormat/>
    <w:uiPriority w:val="99"/>
    <w:rPr>
      <w:rFonts w:ascii="Courier New" w:hAnsi="Courier New" w:eastAsia="宋体" w:cs="Courier New"/>
      <w:sz w:val="20"/>
      <w:szCs w:val="20"/>
    </w:rPr>
  </w:style>
  <w:style w:type="character" w:customStyle="1" w:styleId="585">
    <w:name w:val="不明显强调3"/>
    <w:qFormat/>
    <w:uiPriority w:val="0"/>
    <w:rPr>
      <w:i/>
      <w:iCs/>
      <w:color w:val="808080"/>
    </w:rPr>
  </w:style>
  <w:style w:type="character" w:customStyle="1" w:styleId="586">
    <w:name w:val="文档结构图 Char2"/>
    <w:semiHidden/>
    <w:qFormat/>
    <w:uiPriority w:val="99"/>
    <w:rPr>
      <w:rFonts w:ascii="宋体" w:hAnsi="Times New Roman" w:eastAsia="宋体" w:cs="Times New Roman"/>
      <w:sz w:val="18"/>
      <w:szCs w:val="18"/>
    </w:rPr>
  </w:style>
  <w:style w:type="paragraph" w:customStyle="1" w:styleId="587">
    <w:name w:val="Table Paragraph"/>
    <w:basedOn w:val="1"/>
    <w:unhideWhenUsed/>
    <w:qFormat/>
    <w:uiPriority w:val="1"/>
    <w:rPr>
      <w:rFonts w:hint="eastAsia" w:ascii="Times New Roman" w:hAnsi="Times New Roman" w:eastAsia="宋体" w:cs="Times New Roman"/>
      <w:sz w:val="24"/>
      <w:szCs w:val="24"/>
    </w:rPr>
  </w:style>
  <w:style w:type="paragraph" w:customStyle="1" w:styleId="588">
    <w:name w:val="首行缩进"/>
    <w:basedOn w:val="1"/>
    <w:qFormat/>
    <w:uiPriority w:val="0"/>
    <w:pPr>
      <w:ind w:firstLine="480"/>
    </w:pPr>
    <w:rPr>
      <w:rFonts w:ascii="Times New Roman" w:hAnsi="Times New Roman" w:eastAsia="宋体" w:cs="Times New Roman"/>
      <w:szCs w:val="24"/>
      <w:lang w:val="zh-CN"/>
    </w:rPr>
  </w:style>
  <w:style w:type="paragraph" w:customStyle="1" w:styleId="589">
    <w:name w:val="_Style 12"/>
    <w:next w:val="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90">
    <w:name w:val="修订2"/>
    <w:qFormat/>
    <w:uiPriority w:val="0"/>
    <w:rPr>
      <w:rFonts w:ascii="Times New Roman" w:hAnsi="Times New Roman" w:eastAsia="宋体" w:cs="Times New Roman"/>
      <w:sz w:val="21"/>
      <w:szCs w:val="24"/>
      <w:lang w:val="en-US" w:eastAsia="zh-CN" w:bidi="ar-SA"/>
    </w:rPr>
  </w:style>
  <w:style w:type="paragraph" w:customStyle="1" w:styleId="591">
    <w:name w:val="TOC 标题2"/>
    <w:basedOn w:val="2"/>
    <w:next w:val="1"/>
    <w:qFormat/>
    <w:uiPriority w:val="0"/>
    <w:pPr>
      <w:keepLines/>
      <w:widowControl/>
      <w:spacing w:before="340" w:beforeAutospacing="1" w:after="330" w:afterAutospacing="1" w:line="576" w:lineRule="auto"/>
      <w:ind w:left="1440" w:right="1440" w:firstLine="480"/>
      <w:jc w:val="left"/>
      <w:outlineLvl w:val="9"/>
    </w:pPr>
    <w:rPr>
      <w:rFonts w:ascii="Calibri" w:eastAsia="黑体"/>
      <w:b/>
      <w:bCs/>
      <w:sz w:val="44"/>
      <w:szCs w:val="44"/>
    </w:rPr>
  </w:style>
  <w:style w:type="character" w:customStyle="1" w:styleId="592">
    <w:name w:val="正文文本 2 Char1"/>
    <w:basedOn w:val="53"/>
    <w:semiHidden/>
    <w:qFormat/>
    <w:uiPriority w:val="99"/>
    <w:rPr>
      <w:sz w:val="21"/>
      <w:szCs w:val="24"/>
    </w:rPr>
  </w:style>
  <w:style w:type="character" w:customStyle="1" w:styleId="593">
    <w:name w:val="正文文本缩进 3 Char2"/>
    <w:basedOn w:val="53"/>
    <w:semiHidden/>
    <w:qFormat/>
    <w:uiPriority w:val="99"/>
    <w:rPr>
      <w:sz w:val="16"/>
      <w:szCs w:val="16"/>
    </w:rPr>
  </w:style>
  <w:style w:type="paragraph" w:customStyle="1" w:styleId="594">
    <w:name w:val="引用2"/>
    <w:basedOn w:val="1"/>
    <w:next w:val="1"/>
    <w:qFormat/>
    <w:uiPriority w:val="0"/>
    <w:rPr>
      <w:rFonts w:ascii="Times New Roman" w:hAnsi="Times New Roman" w:eastAsia="宋体" w:cs="Times New Roman"/>
      <w:i/>
      <w:color w:val="000000"/>
      <w:szCs w:val="24"/>
    </w:rPr>
  </w:style>
  <w:style w:type="paragraph" w:customStyle="1" w:styleId="595">
    <w:name w:val="明显引用2"/>
    <w:basedOn w:val="1"/>
    <w:next w:val="1"/>
    <w:qFormat/>
    <w:uiPriority w:val="0"/>
    <w:pPr>
      <w:pBdr>
        <w:bottom w:val="single" w:color="4F81BD" w:sz="4" w:space="4"/>
      </w:pBdr>
      <w:spacing w:before="200" w:after="280"/>
      <w:ind w:left="936" w:right="936"/>
    </w:pPr>
    <w:rPr>
      <w:rFonts w:ascii="Times New Roman" w:hAnsi="Times New Roman" w:eastAsia="宋体" w:cs="Times New Roman"/>
      <w:b/>
      <w:i/>
      <w:color w:val="4F81BD"/>
      <w:szCs w:val="24"/>
    </w:rPr>
  </w:style>
  <w:style w:type="character" w:customStyle="1" w:styleId="596">
    <w:name w:val="正文文本 3 Char2"/>
    <w:basedOn w:val="53"/>
    <w:semiHidden/>
    <w:qFormat/>
    <w:uiPriority w:val="99"/>
    <w:rPr>
      <w:sz w:val="16"/>
      <w:szCs w:val="16"/>
    </w:rPr>
  </w:style>
  <w:style w:type="table" w:customStyle="1" w:styleId="597">
    <w:name w:val="网格型1"/>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98">
    <w:name w:val="Char12"/>
    <w:basedOn w:val="1"/>
    <w:qFormat/>
    <w:uiPriority w:val="0"/>
    <w:rPr>
      <w:rFonts w:ascii="Times New Roman" w:hAnsi="Times New Roman" w:eastAsia="宋体" w:cs="Times New Roman"/>
      <w:szCs w:val="21"/>
    </w:rPr>
  </w:style>
  <w:style w:type="character" w:customStyle="1" w:styleId="599">
    <w:name w:val="Char Char29"/>
    <w:link w:val="600"/>
    <w:qFormat/>
    <w:uiPriority w:val="0"/>
    <w:rPr>
      <w:szCs w:val="24"/>
    </w:rPr>
  </w:style>
  <w:style w:type="paragraph" w:customStyle="1" w:styleId="600">
    <w:name w:val="Char6"/>
    <w:basedOn w:val="1"/>
    <w:link w:val="599"/>
    <w:qFormat/>
    <w:uiPriority w:val="0"/>
    <w:rPr>
      <w:szCs w:val="24"/>
    </w:rPr>
  </w:style>
  <w:style w:type="character" w:customStyle="1" w:styleId="601">
    <w:name w:val="Char Char111"/>
    <w:qFormat/>
    <w:uiPriority w:val="0"/>
    <w:rPr>
      <w:rFonts w:ascii="宋体" w:hAnsi="Courier New" w:eastAsia="宋体"/>
      <w:sz w:val="21"/>
      <w:szCs w:val="21"/>
      <w:lang w:val="en-US" w:eastAsia="zh-CN" w:bidi="ar-SA"/>
    </w:rPr>
  </w:style>
  <w:style w:type="paragraph" w:customStyle="1" w:styleId="602">
    <w:name w:val="Char Char1 Char Char Char1"/>
    <w:basedOn w:val="1"/>
    <w:qFormat/>
    <w:uiPriority w:val="0"/>
    <w:rPr>
      <w:rFonts w:ascii="Times New Roman" w:hAnsi="Times New Roman" w:eastAsia="宋体" w:cs="Times New Roman"/>
      <w:szCs w:val="24"/>
    </w:rPr>
  </w:style>
  <w:style w:type="paragraph" w:customStyle="1" w:styleId="603">
    <w:name w:val="Char Char1 Char1"/>
    <w:basedOn w:val="1"/>
    <w:qFormat/>
    <w:uiPriority w:val="0"/>
    <w:rPr>
      <w:rFonts w:ascii="Tahoma" w:hAnsi="Tahoma" w:eastAsia="宋体" w:cs="Times New Roman"/>
      <w:sz w:val="24"/>
      <w:szCs w:val="20"/>
    </w:rPr>
  </w:style>
  <w:style w:type="paragraph" w:customStyle="1" w:styleId="604">
    <w:name w:val="Char Char5 Char1"/>
    <w:basedOn w:val="1"/>
    <w:qFormat/>
    <w:uiPriority w:val="0"/>
    <w:rPr>
      <w:rFonts w:ascii="Times New Roman" w:hAnsi="Times New Roman" w:eastAsia="宋体" w:cs="Times New Roman"/>
      <w:szCs w:val="20"/>
    </w:rPr>
  </w:style>
  <w:style w:type="paragraph" w:customStyle="1" w:styleId="605">
    <w:name w:val="TOC 标题21"/>
    <w:basedOn w:val="2"/>
    <w:next w:val="1"/>
    <w:qFormat/>
    <w:uiPriority w:val="0"/>
    <w:pPr>
      <w:keepLines/>
      <w:spacing w:before="340" w:after="330" w:line="576" w:lineRule="auto"/>
      <w:outlineLvl w:val="9"/>
    </w:pPr>
    <w:rPr>
      <w:rFonts w:ascii="Calibri" w:eastAsia="宋体"/>
      <w:b/>
      <w:bCs/>
      <w:sz w:val="44"/>
      <w:szCs w:val="44"/>
    </w:rPr>
  </w:style>
  <w:style w:type="character" w:customStyle="1" w:styleId="606">
    <w:name w:val="Char Char272"/>
    <w:qFormat/>
    <w:uiPriority w:val="0"/>
    <w:rPr>
      <w:rFonts w:ascii="宋体" w:hAnsi="宋体" w:eastAsia="宋体"/>
      <w:b/>
      <w:sz w:val="48"/>
      <w:lang w:val="en-US" w:eastAsia="zh-CN" w:bidi="ar-SA"/>
    </w:rPr>
  </w:style>
  <w:style w:type="character" w:customStyle="1" w:styleId="607">
    <w:name w:val="Char Char252"/>
    <w:qFormat/>
    <w:uiPriority w:val="0"/>
    <w:rPr>
      <w:rFonts w:eastAsia="宋体"/>
      <w:b/>
      <w:sz w:val="32"/>
      <w:lang w:val="en-US" w:eastAsia="zh-CN" w:bidi="ar-SA"/>
    </w:rPr>
  </w:style>
  <w:style w:type="paragraph" w:customStyle="1" w:styleId="608">
    <w:name w:val="Char Char1 Char Char Char Char Char Char Char Char Char Char1"/>
    <w:basedOn w:val="1"/>
    <w:qFormat/>
    <w:uiPriority w:val="0"/>
    <w:rPr>
      <w:rFonts w:ascii="Tahoma" w:hAnsi="Tahoma" w:eastAsia="宋体" w:cs="Times New Roman"/>
      <w:sz w:val="24"/>
      <w:szCs w:val="20"/>
    </w:rPr>
  </w:style>
  <w:style w:type="paragraph" w:customStyle="1" w:styleId="609">
    <w:name w:val="Char Char1 Char Char Char Char1"/>
    <w:basedOn w:val="1"/>
    <w:qFormat/>
    <w:uiPriority w:val="0"/>
    <w:rPr>
      <w:rFonts w:ascii="Tahoma" w:hAnsi="Tahoma" w:eastAsia="宋体" w:cs="Times New Roman"/>
      <w:sz w:val="24"/>
      <w:szCs w:val="20"/>
    </w:rPr>
  </w:style>
  <w:style w:type="paragraph" w:customStyle="1" w:styleId="610">
    <w:name w:val="Char1 Char Char1"/>
    <w:basedOn w:val="1"/>
    <w:qFormat/>
    <w:uiPriority w:val="0"/>
    <w:rPr>
      <w:rFonts w:ascii="Times New Roman" w:hAnsi="Times New Roman" w:eastAsia="宋体" w:cs="Times New Roman"/>
      <w:szCs w:val="21"/>
    </w:rPr>
  </w:style>
  <w:style w:type="paragraph" w:customStyle="1" w:styleId="611">
    <w:name w:val="Char Char Char Char2"/>
    <w:basedOn w:val="1"/>
    <w:qFormat/>
    <w:uiPriority w:val="0"/>
    <w:rPr>
      <w:rFonts w:ascii="Tahoma" w:hAnsi="Tahoma" w:eastAsia="宋体" w:cs="Times New Roman"/>
      <w:sz w:val="24"/>
      <w:szCs w:val="20"/>
    </w:rPr>
  </w:style>
  <w:style w:type="paragraph" w:customStyle="1" w:styleId="612">
    <w:name w:val="Char Char Char2"/>
    <w:basedOn w:val="1"/>
    <w:qFormat/>
    <w:uiPriority w:val="0"/>
    <w:rPr>
      <w:rFonts w:ascii="Tahoma" w:hAnsi="Tahoma" w:eastAsia="宋体" w:cs="Times New Roman"/>
      <w:sz w:val="24"/>
      <w:szCs w:val="20"/>
    </w:rPr>
  </w:style>
  <w:style w:type="paragraph" w:customStyle="1" w:styleId="613">
    <w:name w:val="Char2 Char Char Char Char Char1"/>
    <w:basedOn w:val="1"/>
    <w:qFormat/>
    <w:uiPriority w:val="0"/>
    <w:rPr>
      <w:rFonts w:ascii="Times New Roman" w:hAnsi="Times New Roman" w:eastAsia="宋体" w:cs="Times New Roman"/>
      <w:szCs w:val="21"/>
    </w:rPr>
  </w:style>
  <w:style w:type="paragraph" w:customStyle="1" w:styleId="614">
    <w:name w:val="Char1 Char Char Char Char Char1"/>
    <w:basedOn w:val="1"/>
    <w:qFormat/>
    <w:uiPriority w:val="0"/>
    <w:rPr>
      <w:rFonts w:ascii="Times New Roman" w:hAnsi="Times New Roman" w:eastAsia="宋体" w:cs="Times New Roman"/>
      <w:szCs w:val="20"/>
    </w:rPr>
  </w:style>
  <w:style w:type="paragraph" w:customStyle="1" w:styleId="615">
    <w:name w:val="Char Char2 Char1"/>
    <w:basedOn w:val="1"/>
    <w:qFormat/>
    <w:uiPriority w:val="0"/>
    <w:rPr>
      <w:rFonts w:ascii="Tahoma" w:hAnsi="Tahoma" w:eastAsia="宋体" w:cs="Times New Roman"/>
      <w:sz w:val="24"/>
      <w:szCs w:val="20"/>
    </w:rPr>
  </w:style>
  <w:style w:type="paragraph" w:customStyle="1" w:styleId="616">
    <w:name w:val="Char Char Char Char Char Char Char2"/>
    <w:basedOn w:val="1"/>
    <w:qFormat/>
    <w:uiPriority w:val="0"/>
    <w:rPr>
      <w:rFonts w:ascii="Times New Roman" w:hAnsi="Times New Roman" w:eastAsia="宋体" w:cs="Times New Roman"/>
      <w:szCs w:val="21"/>
    </w:rPr>
  </w:style>
  <w:style w:type="paragraph" w:customStyle="1" w:styleId="617">
    <w:name w:val="批注文字1"/>
    <w:basedOn w:val="1"/>
    <w:qFormat/>
    <w:uiPriority w:val="0"/>
    <w:pPr>
      <w:jc w:val="left"/>
    </w:pPr>
  </w:style>
  <w:style w:type="character" w:customStyle="1" w:styleId="618">
    <w:name w:val="font51"/>
    <w:basedOn w:val="53"/>
    <w:qFormat/>
    <w:uiPriority w:val="0"/>
    <w:rPr>
      <w:rFonts w:hint="eastAsia" w:ascii="宋体" w:hAnsi="宋体" w:eastAsia="宋体" w:cs="宋体"/>
      <w:color w:val="000000"/>
      <w:sz w:val="20"/>
      <w:szCs w:val="20"/>
      <w:u w:val="none"/>
    </w:rPr>
  </w:style>
  <w:style w:type="character" w:customStyle="1" w:styleId="619">
    <w:name w:val="font101"/>
    <w:basedOn w:val="53"/>
    <w:qFormat/>
    <w:uiPriority w:val="0"/>
    <w:rPr>
      <w:rFonts w:hint="default" w:ascii="Times New Roman" w:hAnsi="Times New Roman" w:cs="Times New Roman"/>
      <w:color w:val="000000"/>
      <w:sz w:val="20"/>
      <w:szCs w:val="20"/>
      <w:u w:val="none"/>
    </w:rPr>
  </w:style>
  <w:style w:type="character" w:customStyle="1" w:styleId="620">
    <w:name w:val="font122"/>
    <w:basedOn w:val="53"/>
    <w:qFormat/>
    <w:uiPriority w:val="0"/>
    <w:rPr>
      <w:rFonts w:ascii="宋体-简" w:hAnsi="宋体-简" w:eastAsia="宋体-简" w:cs="宋体-简"/>
      <w:color w:val="000000"/>
      <w:sz w:val="20"/>
      <w:szCs w:val="20"/>
      <w:u w:val="none"/>
    </w:rPr>
  </w:style>
  <w:style w:type="character" w:customStyle="1" w:styleId="621">
    <w:name w:val="font41"/>
    <w:basedOn w:val="53"/>
    <w:qFormat/>
    <w:uiPriority w:val="0"/>
    <w:rPr>
      <w:rFonts w:hint="eastAsia" w:ascii="宋体" w:hAnsi="宋体" w:eastAsia="宋体" w:cs="宋体"/>
      <w:color w:val="000000"/>
      <w:sz w:val="20"/>
      <w:szCs w:val="20"/>
      <w:u w:val="none"/>
    </w:rPr>
  </w:style>
  <w:style w:type="character" w:customStyle="1" w:styleId="622">
    <w:name w:val="font81"/>
    <w:basedOn w:val="53"/>
    <w:qFormat/>
    <w:uiPriority w:val="0"/>
    <w:rPr>
      <w:rFonts w:hint="eastAsia" w:ascii="宋体" w:hAnsi="宋体" w:eastAsia="宋体" w:cs="宋体"/>
      <w:color w:val="000000"/>
      <w:sz w:val="20"/>
      <w:szCs w:val="20"/>
      <w:u w:val="none"/>
    </w:rPr>
  </w:style>
  <w:style w:type="character" w:customStyle="1" w:styleId="623">
    <w:name w:val="font151"/>
    <w:basedOn w:val="53"/>
    <w:qFormat/>
    <w:uiPriority w:val="0"/>
    <w:rPr>
      <w:rFonts w:hint="default" w:ascii="Times New Roman" w:hAnsi="Times New Roman" w:cs="Times New Roman"/>
      <w:color w:val="000000"/>
      <w:sz w:val="20"/>
      <w:szCs w:val="20"/>
      <w:u w:val="none"/>
    </w:rPr>
  </w:style>
  <w:style w:type="character" w:customStyle="1" w:styleId="624">
    <w:name w:val="font121"/>
    <w:basedOn w:val="53"/>
    <w:qFormat/>
    <w:uiPriority w:val="0"/>
    <w:rPr>
      <w:rFonts w:hint="default" w:ascii="Times New Roman" w:hAnsi="Times New Roman" w:cs="Times New Roman"/>
      <w:color w:val="000000"/>
      <w:sz w:val="20"/>
      <w:szCs w:val="20"/>
      <w:u w:val="none"/>
    </w:rPr>
  </w:style>
  <w:style w:type="character" w:customStyle="1" w:styleId="625">
    <w:name w:val="font141"/>
    <w:basedOn w:val="53"/>
    <w:qFormat/>
    <w:uiPriority w:val="0"/>
    <w:rPr>
      <w:rFonts w:ascii="宋体-简" w:hAnsi="宋体-简" w:eastAsia="宋体-简" w:cs="宋体-简"/>
      <w:color w:val="000000"/>
      <w:sz w:val="20"/>
      <w:szCs w:val="20"/>
      <w:u w:val="none"/>
    </w:rPr>
  </w:style>
  <w:style w:type="character" w:customStyle="1" w:styleId="626">
    <w:name w:val="font31"/>
    <w:basedOn w:val="53"/>
    <w:qFormat/>
    <w:uiPriority w:val="0"/>
    <w:rPr>
      <w:rFonts w:hint="eastAsia" w:ascii="宋体" w:hAnsi="宋体" w:eastAsia="宋体" w:cs="宋体"/>
      <w:b/>
      <w:bCs/>
      <w:color w:val="000000"/>
      <w:sz w:val="20"/>
      <w:szCs w:val="20"/>
      <w:u w:val="none"/>
    </w:rPr>
  </w:style>
  <w:style w:type="paragraph" w:customStyle="1" w:styleId="627">
    <w:name w:val="正文格式 Char Char Char Char"/>
    <w:basedOn w:val="1"/>
    <w:qFormat/>
    <w:uiPriority w:val="0"/>
    <w:pPr>
      <w:spacing w:line="360" w:lineRule="auto"/>
      <w:ind w:firstLine="561"/>
    </w:pPr>
    <w:rPr>
      <w:rFonts w:ascii="Tahoma" w:hAnsi="Tahoma" w:eastAsia="宋体"/>
      <w:kern w:val="2"/>
      <w:sz w:val="28"/>
      <w:szCs w:val="24"/>
    </w:rPr>
  </w:style>
  <w:style w:type="table" w:customStyle="1" w:styleId="62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E91DD-9BDA-4FFC-A94F-D27D4DEBE8E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41069</Words>
  <Characters>43284</Characters>
  <Lines>526</Lines>
  <Paragraphs>148</Paragraphs>
  <TotalTime>24</TotalTime>
  <ScaleCrop>false</ScaleCrop>
  <LinksUpToDate>false</LinksUpToDate>
  <CharactersWithSpaces>45450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2025-12-09T01:49:00Z</dcterms:created>
  <dc:creator>�ѐ</dc:creator>
  <cp:lastModifiedBy>于雅静</cp:lastModifiedBy>
  <dcterms:modified xsi:type="dcterms:W3CDTF">2025-12-09T05:17:36Z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eyJoZGlkIjoiYjM1M2E0OWMxNTUyZDA1OTVkYWJmY2IxMzI5ZGFlODkiLCJ1c2VySWQiOiI4MjQ1MDE3NDQifQ==</vt:lpwstr>
  </property>
  <property fmtid="{D5CDD505-2E9C-101B-9397-08002B2CF9AE}" pid="3" name="KSOProductBuildVer">
    <vt:lpwstr>2052-12.1.0.24034</vt:lpwstr>
  </property>
  <property fmtid="{D5CDD505-2E9C-101B-9397-08002B2CF9AE}" pid="4" name="ICV">
    <vt:lpwstr>1A0216ADB4AF42948E40487B1602BCDF_13</vt:lpwstr>
  </property>
</Properties>
</file>